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C9" w:rsidRDefault="005471C9" w:rsidP="005471C9">
      <w:pPr>
        <w:tabs>
          <w:tab w:val="left" w:pos="8080"/>
        </w:tabs>
        <w:spacing w:after="0" w:line="240" w:lineRule="auto"/>
      </w:pPr>
      <w:bookmarkStart w:id="0" w:name="_GoBack"/>
      <w:bookmarkEnd w:id="0"/>
    </w:p>
    <w:p w:rsidR="005471C9" w:rsidRPr="00CB593B" w:rsidRDefault="005471C9" w:rsidP="005471C9">
      <w:pPr>
        <w:tabs>
          <w:tab w:val="left" w:pos="8080"/>
        </w:tabs>
        <w:spacing w:after="0" w:line="240" w:lineRule="auto"/>
        <w:jc w:val="center"/>
        <w:rPr>
          <w:b/>
        </w:rPr>
      </w:pPr>
      <w:r w:rsidRPr="00CB593B">
        <w:rPr>
          <w:b/>
        </w:rPr>
        <w:t>AIUK Registration as a Non-Party Campaigner: Statement</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AIUK has commenced the process of registering with the Electoral Commission as a “non-party campaigner”, as defined by the Transparency of Lobbying, Non-Party Campaigning and Trade Union Registration Act 2014 (more frequently known as the “Lobbying Act”).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We have taken this step in order to ensure that Amnesty International UK remains able to campaign on all issues that it wishes to during the election period.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We are concerned that the act of registration may lead some people to believe that Amnesty International UK is campaigning to influence the outcome of the General Election period. We want to state, unequivocally, that this is not the case.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Amnesty International is required by its own governing Statute to act with political impartiality. We do not, never will and never have sought to procure the success of a one political party over another. Our actions are always intended to secure greater enjoyment of human rights and to prevent their erosion, in the UK and abroad.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Whilst Amnesty International UK accepts the importance of electoral transparency, we regret that the Lobbying Act is so broadly drawn that some of our long-standing work can fall under the definition of “regulated campaign activity”.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Whilst we could have established internal rules to prevent us from undertaking such activity, the implication would have been to say nothing about proposals to repeal the Human Rights Act or to allow homophobic discrimination. Since we have supported the Human Rights Act and equalities legislation for decades, it would be unconscionable for AIUK to remain silent when proposals are floated that would erode hard-won rights.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 xml:space="preserve">AIUK has criticised the current government. We have also praised it. The same applied to its predecessors. We decide our stance issue by issue, policy by policy and not because we want to see a government of one complexion or another. </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We hope to see a general election campaign that features informed and constructive debate about human rights. We look forward to working with the MPs who are returned at the next election and with the next Government, whoever forms it.</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r>
        <w:t>Tim Hancock</w:t>
      </w:r>
    </w:p>
    <w:p w:rsidR="005471C9" w:rsidRDefault="005471C9" w:rsidP="005471C9">
      <w:pPr>
        <w:tabs>
          <w:tab w:val="left" w:pos="8080"/>
        </w:tabs>
        <w:spacing w:after="0" w:line="240" w:lineRule="auto"/>
      </w:pPr>
      <w:r>
        <w:t>Director of the Chief Executive’s Office</w:t>
      </w:r>
    </w:p>
    <w:p w:rsidR="005471C9" w:rsidRDefault="005471C9" w:rsidP="005471C9">
      <w:pPr>
        <w:tabs>
          <w:tab w:val="left" w:pos="8080"/>
        </w:tabs>
        <w:spacing w:after="0" w:line="240" w:lineRule="auto"/>
      </w:pPr>
      <w:r>
        <w:t>Amnesty International UK</w:t>
      </w:r>
    </w:p>
    <w:p w:rsidR="005471C9" w:rsidRDefault="005471C9" w:rsidP="005471C9">
      <w:pPr>
        <w:tabs>
          <w:tab w:val="left" w:pos="8080"/>
        </w:tabs>
        <w:spacing w:after="0" w:line="240" w:lineRule="auto"/>
      </w:pPr>
    </w:p>
    <w:p w:rsidR="005471C9" w:rsidRDefault="005471C9" w:rsidP="005471C9">
      <w:pPr>
        <w:tabs>
          <w:tab w:val="left" w:pos="8080"/>
        </w:tabs>
        <w:spacing w:after="0" w:line="240" w:lineRule="auto"/>
      </w:pPr>
    </w:p>
    <w:p w:rsidR="00EC7E10" w:rsidRDefault="00EC7E10"/>
    <w:sectPr w:rsidR="00EC7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C9"/>
    <w:rsid w:val="00531E72"/>
    <w:rsid w:val="005471C9"/>
    <w:rsid w:val="00EC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Hancock</dc:creator>
  <cp:lastModifiedBy>Kelly Botha</cp:lastModifiedBy>
  <cp:revision>2</cp:revision>
  <dcterms:created xsi:type="dcterms:W3CDTF">2015-03-27T10:15:00Z</dcterms:created>
  <dcterms:modified xsi:type="dcterms:W3CDTF">2015-03-27T10:15:00Z</dcterms:modified>
</cp:coreProperties>
</file>