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B267" w14:textId="37EE6C75" w:rsidR="00E477D5" w:rsidRDefault="008F43AC" w:rsidP="00946144">
      <w:pPr>
        <w:pStyle w:val="campaignmainheader1stline"/>
      </w:pPr>
      <w:r>
        <w:rPr>
          <w:noProof/>
          <w:lang w:val="en-GB" w:eastAsia="en-GB"/>
        </w:rPr>
        <w:drawing>
          <wp:anchor distT="0" distB="0" distL="114300" distR="114300" simplePos="0" relativeHeight="251658240" behindDoc="0" locked="0" layoutInCell="1" allowOverlap="1" wp14:anchorId="732AA945" wp14:editId="645C9E36">
            <wp:simplePos x="0" y="0"/>
            <wp:positionH relativeFrom="column">
              <wp:posOffset>2540</wp:posOffset>
            </wp:positionH>
            <wp:positionV relativeFrom="paragraph">
              <wp:posOffset>-150282</wp:posOffset>
            </wp:positionV>
            <wp:extent cx="2028825" cy="637327"/>
            <wp:effectExtent l="0" t="0" r="0" b="0"/>
            <wp:wrapNone/>
            <wp:docPr id="1" name="Picture 1" descr="Logo: Do the Human Right Thing - Keep the Human Right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the Human Right Thing - Keep the Human Rights 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37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EF56E" w14:textId="3A40B63B" w:rsidR="00E477D5" w:rsidRDefault="00E477D5" w:rsidP="00E477D5">
      <w:pPr>
        <w:pStyle w:val="campaignmainheader2ndline"/>
        <w:tabs>
          <w:tab w:val="left" w:pos="720"/>
        </w:tabs>
        <w:spacing w:after="0"/>
      </w:pPr>
      <w:r>
        <w:tab/>
      </w:r>
    </w:p>
    <w:p w14:paraId="707A58E5" w14:textId="4AEBBFCF" w:rsidR="00946144" w:rsidRPr="008F43AC" w:rsidRDefault="008F43AC" w:rsidP="008F43AC">
      <w:pPr>
        <w:pStyle w:val="campaignmainheader2ndline"/>
        <w:spacing w:after="0"/>
        <w:rPr>
          <w:rFonts w:ascii="Arial Black" w:hAnsi="Arial Black"/>
        </w:rPr>
      </w:pPr>
      <w:r>
        <w:rPr>
          <w:rFonts w:ascii="Arial Black" w:hAnsi="Arial Black"/>
        </w:rPr>
        <w:t>Human rights act</w:t>
      </w:r>
    </w:p>
    <w:p w14:paraId="20B14487" w14:textId="77777777" w:rsidR="000F66E2" w:rsidRDefault="000F66E2" w:rsidP="008F43AC">
      <w:pPr>
        <w:pStyle w:val="campaign2ndheaders"/>
        <w:sectPr w:rsidR="000F66E2">
          <w:headerReference w:type="default" r:id="rId9"/>
          <w:footerReference w:type="default" r:id="rId10"/>
          <w:headerReference w:type="first" r:id="rId11"/>
          <w:pgSz w:w="11900" w:h="16840"/>
          <w:pgMar w:top="1843" w:right="843" w:bottom="1440" w:left="851" w:header="708" w:footer="708" w:gutter="0"/>
          <w:cols w:space="708"/>
          <w:titlePg/>
        </w:sectPr>
      </w:pPr>
    </w:p>
    <w:p w14:paraId="502E5D73" w14:textId="72E92A3F" w:rsidR="008F43AC" w:rsidRPr="008F43AC" w:rsidRDefault="008F43AC" w:rsidP="008F43AC">
      <w:pPr>
        <w:autoSpaceDE w:val="0"/>
        <w:autoSpaceDN w:val="0"/>
        <w:adjustRightInd w:val="0"/>
        <w:jc w:val="both"/>
        <w:rPr>
          <w:rFonts w:ascii="Arial" w:hAnsi="Arial" w:cs="Arial"/>
          <w:b/>
          <w:bCs/>
          <w:color w:val="000000"/>
          <w:sz w:val="48"/>
          <w:szCs w:val="22"/>
          <w:lang w:val="en-GB"/>
        </w:rPr>
      </w:pPr>
      <w:r w:rsidRPr="008F43AC">
        <w:rPr>
          <w:rFonts w:ascii="Arial" w:hAnsi="Arial" w:cs="Arial"/>
          <w:b/>
          <w:bCs/>
          <w:color w:val="000000"/>
          <w:sz w:val="48"/>
          <w:szCs w:val="22"/>
          <w:lang w:val="en-GB"/>
        </w:rPr>
        <w:lastRenderedPageBreak/>
        <w:t>Making your case for the HRA</w:t>
      </w:r>
    </w:p>
    <w:p w14:paraId="01714ED0" w14:textId="77777777" w:rsidR="008F43AC" w:rsidRPr="008F43AC" w:rsidRDefault="008F43AC" w:rsidP="008F43AC">
      <w:pPr>
        <w:autoSpaceDE w:val="0"/>
        <w:autoSpaceDN w:val="0"/>
        <w:adjustRightInd w:val="0"/>
        <w:jc w:val="both"/>
        <w:rPr>
          <w:rFonts w:ascii="Arial" w:hAnsi="Arial" w:cs="Arial"/>
          <w:b/>
          <w:bCs/>
          <w:color w:val="000000"/>
          <w:sz w:val="44"/>
          <w:szCs w:val="20"/>
          <w:u w:val="single"/>
          <w:lang w:val="en-GB"/>
        </w:rPr>
        <w:sectPr w:rsidR="008F43AC" w:rsidRPr="008F43AC" w:rsidSect="008F43AC">
          <w:type w:val="continuous"/>
          <w:pgSz w:w="11900" w:h="16840"/>
          <w:pgMar w:top="1843" w:right="843" w:bottom="1440" w:left="851" w:header="708" w:footer="708" w:gutter="0"/>
          <w:cols w:sep="1" w:space="720"/>
          <w:titlePg/>
        </w:sectPr>
      </w:pPr>
    </w:p>
    <w:p w14:paraId="1FBDD2AC" w14:textId="77777777" w:rsidR="008F43AC" w:rsidRDefault="008F43AC" w:rsidP="008F43AC">
      <w:pPr>
        <w:autoSpaceDE w:val="0"/>
        <w:autoSpaceDN w:val="0"/>
        <w:adjustRightInd w:val="0"/>
        <w:jc w:val="both"/>
        <w:rPr>
          <w:rFonts w:ascii="Arial" w:hAnsi="Arial" w:cs="Arial"/>
          <w:b/>
          <w:bCs/>
          <w:color w:val="000000"/>
          <w:szCs w:val="20"/>
          <w:lang w:val="en-GB"/>
        </w:rPr>
      </w:pPr>
    </w:p>
    <w:p w14:paraId="69C47B89" w14:textId="77350FD5" w:rsidR="008F43AC" w:rsidRPr="003E41E5" w:rsidRDefault="008F43AC" w:rsidP="008F43AC">
      <w:pPr>
        <w:autoSpaceDE w:val="0"/>
        <w:autoSpaceDN w:val="0"/>
        <w:adjustRightInd w:val="0"/>
        <w:spacing w:after="240"/>
        <w:jc w:val="both"/>
        <w:rPr>
          <w:rFonts w:ascii="Arial" w:hAnsi="Arial" w:cs="Arial"/>
          <w:b/>
          <w:bCs/>
          <w:color w:val="000000"/>
          <w:sz w:val="22"/>
          <w:szCs w:val="22"/>
          <w:u w:val="single"/>
          <w:lang w:val="en-GB"/>
        </w:rPr>
      </w:pPr>
      <w:r w:rsidRPr="003E41E5">
        <w:rPr>
          <w:rFonts w:ascii="Arial" w:hAnsi="Arial" w:cs="Arial"/>
          <w:b/>
          <w:bCs/>
          <w:color w:val="000000"/>
          <w:sz w:val="22"/>
          <w:szCs w:val="22"/>
          <w:u w:val="single"/>
          <w:lang w:val="en-GB"/>
        </w:rPr>
        <w:t>D</w:t>
      </w:r>
      <w:r w:rsidRPr="003E41E5">
        <w:rPr>
          <w:rFonts w:ascii="Arial" w:hAnsi="Arial" w:cs="Arial"/>
          <w:b/>
          <w:bCs/>
          <w:color w:val="000000"/>
          <w:sz w:val="22"/>
          <w:szCs w:val="22"/>
          <w:u w:val="single"/>
          <w:lang w:val="en-GB"/>
        </w:rPr>
        <w:t>eportation and extradition of terrorists or foreign criminals</w:t>
      </w:r>
    </w:p>
    <w:p w14:paraId="31C41EEC" w14:textId="77777777" w:rsidR="008F43AC" w:rsidRPr="003E41E5" w:rsidRDefault="008F43AC" w:rsidP="008F43AC">
      <w:pPr>
        <w:autoSpaceDE w:val="0"/>
        <w:autoSpaceDN w:val="0"/>
        <w:adjustRightInd w:val="0"/>
        <w:spacing w:after="240"/>
        <w:ind w:left="1080" w:hanging="360"/>
        <w:jc w:val="both"/>
        <w:rPr>
          <w:rFonts w:ascii="Arial" w:hAnsi="Arial" w:cs="Arial"/>
          <w:color w:val="000000"/>
          <w:sz w:val="22"/>
          <w:szCs w:val="22"/>
          <w:lang w:val="en-GB"/>
        </w:rPr>
      </w:pPr>
      <w:r w:rsidRPr="003E41E5">
        <w:rPr>
          <w:rFonts w:ascii="Arial" w:hAnsi="Arial" w:cs="Arial"/>
          <w:color w:val="000000"/>
          <w:sz w:val="22"/>
          <w:szCs w:val="22"/>
          <w:lang w:val="en-GB"/>
        </w:rPr>
        <w:t>1.</w:t>
      </w:r>
      <w:r w:rsidRPr="003E41E5">
        <w:rPr>
          <w:rFonts w:ascii="Arial" w:hAnsi="Arial" w:cs="Arial"/>
          <w:color w:val="000000"/>
          <w:sz w:val="22"/>
          <w:szCs w:val="22"/>
          <w:lang w:val="en-GB"/>
        </w:rPr>
        <w:tab/>
        <w:t xml:space="preserve">A nice stat is that of applications to Strasbourg seeking to stop expulsions from the UK on human rights grounds. In 2013, 252 were found inadmissible, and 112 struck out (the same really). Only 4 actually received a full judgment. Of those 4, only 1 found a violation: so just 0.3% of applications to the </w:t>
      </w:r>
      <w:proofErr w:type="spellStart"/>
      <w:r w:rsidRPr="003E41E5">
        <w:rPr>
          <w:rFonts w:ascii="Arial" w:hAnsi="Arial" w:cs="Arial"/>
          <w:color w:val="000000"/>
          <w:sz w:val="22"/>
          <w:szCs w:val="22"/>
          <w:lang w:val="en-GB"/>
        </w:rPr>
        <w:t>ECtHR</w:t>
      </w:r>
      <w:proofErr w:type="spellEnd"/>
      <w:r w:rsidRPr="003E41E5">
        <w:rPr>
          <w:rFonts w:ascii="Arial" w:hAnsi="Arial" w:cs="Arial"/>
          <w:color w:val="000000"/>
          <w:sz w:val="22"/>
          <w:szCs w:val="22"/>
          <w:lang w:val="en-GB"/>
        </w:rPr>
        <w:t xml:space="preserve"> on this basis were successful.</w:t>
      </w:r>
    </w:p>
    <w:p w14:paraId="4BE309A4" w14:textId="77777777" w:rsidR="008F43AC" w:rsidRPr="003E41E5" w:rsidRDefault="008F43AC" w:rsidP="008F43AC">
      <w:pPr>
        <w:autoSpaceDE w:val="0"/>
        <w:autoSpaceDN w:val="0"/>
        <w:adjustRightInd w:val="0"/>
        <w:spacing w:after="240"/>
        <w:jc w:val="both"/>
        <w:rPr>
          <w:rFonts w:ascii="Arial" w:hAnsi="Arial" w:cs="Arial"/>
          <w:b/>
          <w:bCs/>
          <w:color w:val="000000"/>
          <w:sz w:val="22"/>
          <w:szCs w:val="22"/>
          <w:u w:val="single"/>
          <w:lang w:val="en-GB"/>
        </w:rPr>
      </w:pPr>
      <w:r w:rsidRPr="003E41E5">
        <w:rPr>
          <w:rFonts w:ascii="Arial" w:hAnsi="Arial" w:cs="Arial"/>
          <w:b/>
          <w:bCs/>
          <w:color w:val="000000"/>
          <w:sz w:val="22"/>
          <w:szCs w:val="22"/>
          <w:u w:val="single"/>
          <w:lang w:val="en-GB"/>
        </w:rPr>
        <w:t xml:space="preserve">Cases where domestic courts have not followed </w:t>
      </w:r>
      <w:proofErr w:type="spellStart"/>
      <w:r w:rsidRPr="003E41E5">
        <w:rPr>
          <w:rFonts w:ascii="Arial" w:hAnsi="Arial" w:cs="Arial"/>
          <w:b/>
          <w:bCs/>
          <w:color w:val="000000"/>
          <w:sz w:val="22"/>
          <w:szCs w:val="22"/>
          <w:u w:val="single"/>
          <w:lang w:val="en-GB"/>
        </w:rPr>
        <w:t>ECtHR</w:t>
      </w:r>
      <w:proofErr w:type="spellEnd"/>
      <w:r w:rsidRPr="003E41E5">
        <w:rPr>
          <w:rFonts w:ascii="Arial" w:hAnsi="Arial" w:cs="Arial"/>
          <w:b/>
          <w:bCs/>
          <w:color w:val="000000"/>
          <w:sz w:val="22"/>
          <w:szCs w:val="22"/>
          <w:u w:val="single"/>
          <w:lang w:val="en-GB"/>
        </w:rPr>
        <w:t xml:space="preserve"> rulings:</w:t>
      </w:r>
    </w:p>
    <w:p w14:paraId="5FF5C479" w14:textId="77777777" w:rsidR="008F43AC" w:rsidRPr="003E41E5" w:rsidRDefault="008F43AC" w:rsidP="008F43AC">
      <w:pPr>
        <w:autoSpaceDE w:val="0"/>
        <w:autoSpaceDN w:val="0"/>
        <w:adjustRightInd w:val="0"/>
        <w:spacing w:after="240"/>
        <w:ind w:left="720" w:hanging="360"/>
        <w:jc w:val="both"/>
        <w:rPr>
          <w:rFonts w:ascii="Arial" w:hAnsi="Arial" w:cs="Arial"/>
          <w:color w:val="000000"/>
          <w:sz w:val="22"/>
          <w:szCs w:val="22"/>
          <w:lang w:val="en-GB"/>
        </w:rPr>
      </w:pPr>
      <w:r w:rsidRPr="003E41E5">
        <w:rPr>
          <w:rFonts w:ascii="Arial" w:hAnsi="Arial" w:cs="Arial"/>
          <w:color w:val="000000"/>
          <w:sz w:val="22"/>
          <w:szCs w:val="22"/>
          <w:lang w:val="en-GB"/>
        </w:rPr>
        <w:t>1.</w:t>
      </w:r>
      <w:r w:rsidRPr="003E41E5">
        <w:rPr>
          <w:rFonts w:ascii="Arial" w:hAnsi="Arial" w:cs="Arial"/>
          <w:color w:val="000000"/>
          <w:sz w:val="22"/>
          <w:szCs w:val="22"/>
          <w:lang w:val="en-GB"/>
        </w:rPr>
        <w:tab/>
        <w:t xml:space="preserve">Section 2 HRA is only a duty to ‘take into account’. There are occasions where with very good reasons, the UK will depart from clear and consistent’ guidance from the </w:t>
      </w:r>
      <w:proofErr w:type="spellStart"/>
      <w:r w:rsidRPr="003E41E5">
        <w:rPr>
          <w:rFonts w:ascii="Arial" w:hAnsi="Arial" w:cs="Arial"/>
          <w:color w:val="000000"/>
          <w:sz w:val="22"/>
          <w:szCs w:val="22"/>
          <w:lang w:val="en-GB"/>
        </w:rPr>
        <w:t>ECtHR</w:t>
      </w:r>
      <w:proofErr w:type="spellEnd"/>
      <w:r w:rsidRPr="003E41E5">
        <w:rPr>
          <w:rFonts w:ascii="Arial" w:hAnsi="Arial" w:cs="Arial"/>
          <w:color w:val="000000"/>
          <w:sz w:val="22"/>
          <w:szCs w:val="22"/>
          <w:lang w:val="en-GB"/>
        </w:rPr>
        <w:t>. This can sometimes lead to a positive dialogue with Strasbourg where the two courts affect each other and improve each other’s rulings.</w:t>
      </w:r>
    </w:p>
    <w:p w14:paraId="727F455F" w14:textId="77777777" w:rsidR="008F43AC" w:rsidRPr="003E41E5" w:rsidRDefault="008F43AC" w:rsidP="008F43AC">
      <w:pPr>
        <w:autoSpaceDE w:val="0"/>
        <w:autoSpaceDN w:val="0"/>
        <w:adjustRightInd w:val="0"/>
        <w:spacing w:after="240"/>
        <w:ind w:left="720"/>
        <w:jc w:val="both"/>
        <w:rPr>
          <w:rFonts w:ascii="Arial" w:hAnsi="Arial" w:cs="Arial"/>
          <w:color w:val="000000"/>
          <w:sz w:val="22"/>
          <w:szCs w:val="22"/>
          <w:lang w:val="en-GB"/>
        </w:rPr>
      </w:pPr>
    </w:p>
    <w:p w14:paraId="1795518A" w14:textId="77777777" w:rsidR="008F43AC" w:rsidRPr="003E41E5" w:rsidRDefault="008F43AC" w:rsidP="008F43AC">
      <w:pPr>
        <w:autoSpaceDE w:val="0"/>
        <w:autoSpaceDN w:val="0"/>
        <w:adjustRightInd w:val="0"/>
        <w:spacing w:after="240"/>
        <w:ind w:left="720" w:hanging="360"/>
        <w:jc w:val="both"/>
        <w:rPr>
          <w:rFonts w:ascii="Arial" w:hAnsi="Arial" w:cs="Arial"/>
          <w:color w:val="000000"/>
          <w:sz w:val="22"/>
          <w:szCs w:val="22"/>
          <w:lang w:val="en-GB"/>
        </w:rPr>
      </w:pPr>
      <w:r w:rsidRPr="003E41E5">
        <w:rPr>
          <w:rFonts w:ascii="Arial" w:hAnsi="Arial" w:cs="Arial"/>
          <w:color w:val="000000"/>
          <w:sz w:val="22"/>
          <w:szCs w:val="22"/>
          <w:lang w:val="en-GB"/>
        </w:rPr>
        <w:t>2.</w:t>
      </w:r>
      <w:r w:rsidRPr="003E41E5">
        <w:rPr>
          <w:rFonts w:ascii="Arial" w:hAnsi="Arial" w:cs="Arial"/>
          <w:color w:val="000000"/>
          <w:sz w:val="22"/>
          <w:szCs w:val="22"/>
          <w:lang w:val="en-GB"/>
        </w:rPr>
        <w:tab/>
      </w:r>
      <w:r w:rsidRPr="003E41E5">
        <w:rPr>
          <w:rFonts w:ascii="Arial" w:hAnsi="Arial" w:cs="Arial"/>
          <w:color w:val="000000"/>
          <w:sz w:val="22"/>
          <w:szCs w:val="22"/>
          <w:u w:val="single"/>
          <w:lang w:val="en-GB"/>
        </w:rPr>
        <w:t>An example is the UK Court martial system</w:t>
      </w:r>
      <w:r w:rsidRPr="003E41E5">
        <w:rPr>
          <w:rFonts w:ascii="Arial" w:hAnsi="Arial" w:cs="Arial"/>
          <w:color w:val="000000"/>
          <w:sz w:val="22"/>
          <w:szCs w:val="22"/>
          <w:lang w:val="en-GB"/>
        </w:rPr>
        <w:t>: Strasbourg found in 2002 that this breached article 6 fair trial rights (as, in essence, those judging were not independent). The House of Lords declined to follow that in a subsequent case, saying Strasbourg had not been given enough information by counsel and thus did not properly understand the protections in the UK system. Strasbourg then amended its own case law to take into account that information and adopt the domestic approach in 2004 in another case (</w:t>
      </w:r>
      <w:r w:rsidRPr="003E41E5">
        <w:rPr>
          <w:rFonts w:ascii="Arial" w:hAnsi="Arial" w:cs="Arial"/>
          <w:i/>
          <w:iCs/>
          <w:color w:val="000000"/>
          <w:sz w:val="22"/>
          <w:szCs w:val="22"/>
          <w:lang w:val="en-GB"/>
        </w:rPr>
        <w:t>Cooper v UK</w:t>
      </w:r>
      <w:r w:rsidRPr="003E41E5">
        <w:rPr>
          <w:rFonts w:ascii="Arial" w:hAnsi="Arial" w:cs="Arial"/>
          <w:color w:val="000000"/>
          <w:sz w:val="22"/>
          <w:szCs w:val="22"/>
          <w:lang w:val="en-GB"/>
        </w:rPr>
        <w:t xml:space="preserve">) on army court </w:t>
      </w:r>
      <w:proofErr w:type="gramStart"/>
      <w:r w:rsidRPr="003E41E5">
        <w:rPr>
          <w:rFonts w:ascii="Arial" w:hAnsi="Arial" w:cs="Arial"/>
          <w:color w:val="000000"/>
          <w:sz w:val="22"/>
          <w:szCs w:val="22"/>
          <w:lang w:val="en-GB"/>
        </w:rPr>
        <w:t>martials</w:t>
      </w:r>
      <w:proofErr w:type="gramEnd"/>
      <w:r w:rsidRPr="003E41E5">
        <w:rPr>
          <w:rFonts w:ascii="Arial" w:hAnsi="Arial" w:cs="Arial"/>
          <w:color w:val="000000"/>
          <w:sz w:val="22"/>
          <w:szCs w:val="22"/>
          <w:lang w:val="en-GB"/>
        </w:rPr>
        <w:t xml:space="preserve"> (while still finding some problems to naval court martials).</w:t>
      </w:r>
    </w:p>
    <w:p w14:paraId="5665D0B5" w14:textId="77777777" w:rsidR="008F43AC" w:rsidRPr="003E41E5" w:rsidRDefault="008F43AC" w:rsidP="008F43AC">
      <w:pPr>
        <w:autoSpaceDE w:val="0"/>
        <w:autoSpaceDN w:val="0"/>
        <w:adjustRightInd w:val="0"/>
        <w:spacing w:after="240"/>
        <w:ind w:left="1080"/>
        <w:rPr>
          <w:rFonts w:ascii="Arial" w:hAnsi="Arial" w:cs="Arial"/>
          <w:color w:val="000000"/>
          <w:sz w:val="22"/>
          <w:szCs w:val="22"/>
          <w:lang w:val="en-GB"/>
        </w:rPr>
      </w:pPr>
    </w:p>
    <w:p w14:paraId="1764864D" w14:textId="64BAEB67" w:rsidR="008F43AC" w:rsidRPr="003E41E5" w:rsidRDefault="008F43AC" w:rsidP="003E41E5">
      <w:pPr>
        <w:autoSpaceDE w:val="0"/>
        <w:autoSpaceDN w:val="0"/>
        <w:adjustRightInd w:val="0"/>
        <w:spacing w:after="240"/>
        <w:ind w:left="720" w:hanging="360"/>
        <w:jc w:val="both"/>
        <w:rPr>
          <w:rFonts w:ascii="Arial" w:hAnsi="Arial" w:cs="Arial"/>
          <w:color w:val="000000"/>
          <w:sz w:val="22"/>
          <w:szCs w:val="22"/>
          <w:lang w:val="en-GB"/>
        </w:rPr>
      </w:pPr>
      <w:r w:rsidRPr="003E41E5">
        <w:rPr>
          <w:rFonts w:ascii="Arial" w:hAnsi="Arial" w:cs="Arial"/>
          <w:color w:val="000000"/>
          <w:sz w:val="22"/>
          <w:szCs w:val="22"/>
          <w:lang w:val="en-GB"/>
        </w:rPr>
        <w:t>3.</w:t>
      </w:r>
      <w:r w:rsidRPr="003E41E5">
        <w:rPr>
          <w:rFonts w:ascii="Arial" w:hAnsi="Arial" w:cs="Arial"/>
          <w:color w:val="000000"/>
          <w:sz w:val="22"/>
          <w:szCs w:val="22"/>
          <w:lang w:val="en-GB"/>
        </w:rPr>
        <w:tab/>
        <w:t>Strasbourg is cautious about departing from national courts itself and finding a violation. In 2006 it recalled i</w:t>
      </w:r>
      <w:r w:rsidR="003E41E5" w:rsidRPr="003E41E5">
        <w:rPr>
          <w:rFonts w:ascii="Arial" w:hAnsi="Arial" w:cs="Arial"/>
          <w:color w:val="000000"/>
          <w:sz w:val="22"/>
          <w:szCs w:val="22"/>
          <w:lang w:val="en-GB"/>
        </w:rPr>
        <w:t>n a judgment (Roche v UK) that:</w:t>
      </w:r>
    </w:p>
    <w:p w14:paraId="1AAA4E64" w14:textId="16689021" w:rsidR="008F43AC" w:rsidRPr="003E41E5" w:rsidRDefault="008F43AC" w:rsidP="003E41E5">
      <w:pPr>
        <w:autoSpaceDE w:val="0"/>
        <w:autoSpaceDN w:val="0"/>
        <w:adjustRightInd w:val="0"/>
        <w:spacing w:after="240"/>
        <w:ind w:left="1440"/>
        <w:jc w:val="both"/>
        <w:rPr>
          <w:rFonts w:ascii="Arial" w:hAnsi="Arial" w:cs="Arial"/>
          <w:color w:val="000000"/>
          <w:sz w:val="22"/>
          <w:szCs w:val="22"/>
          <w:lang w:val="en-GB"/>
        </w:rPr>
      </w:pPr>
      <w:r w:rsidRPr="003E41E5">
        <w:rPr>
          <w:rFonts w:ascii="Arial" w:hAnsi="Arial" w:cs="Arial"/>
          <w:color w:val="000000"/>
          <w:sz w:val="22"/>
          <w:szCs w:val="22"/>
          <w:lang w:val="en-GB"/>
        </w:rPr>
        <w:t>“</w:t>
      </w:r>
      <w:r w:rsidRPr="003E41E5">
        <w:rPr>
          <w:rFonts w:ascii="Arial" w:hAnsi="Arial" w:cs="Arial"/>
          <w:i/>
          <w:iCs/>
          <w:color w:val="000000"/>
          <w:sz w:val="22"/>
          <w:szCs w:val="22"/>
          <w:u w:val="single"/>
          <w:lang w:val="en-GB"/>
        </w:rPr>
        <w:t>Where … the superior national courts have analysed in a comprehensive and convincing manner the precise nature of the impugned restriction</w:t>
      </w:r>
      <w:r w:rsidRPr="003E41E5">
        <w:rPr>
          <w:rFonts w:ascii="Arial" w:hAnsi="Arial" w:cs="Arial"/>
          <w:i/>
          <w:iCs/>
          <w:color w:val="000000"/>
          <w:sz w:val="22"/>
          <w:szCs w:val="22"/>
          <w:lang w:val="en-GB"/>
        </w:rPr>
        <w:t xml:space="preserve">, on the basis of the relevant Convention case-law and principles drawn therefrom, </w:t>
      </w:r>
      <w:r w:rsidRPr="003E41E5">
        <w:rPr>
          <w:rFonts w:ascii="Arial" w:hAnsi="Arial" w:cs="Arial"/>
          <w:i/>
          <w:iCs/>
          <w:color w:val="000000"/>
          <w:sz w:val="22"/>
          <w:szCs w:val="22"/>
          <w:u w:val="single"/>
          <w:lang w:val="en-GB"/>
        </w:rPr>
        <w:t>this Court would need strong reasons to differ from the conclusion reached by those courts by substituting its own views for those of the national courts</w:t>
      </w:r>
      <w:r w:rsidRPr="003E41E5">
        <w:rPr>
          <w:rFonts w:ascii="Arial" w:hAnsi="Arial" w:cs="Arial"/>
          <w:i/>
          <w:iCs/>
          <w:color w:val="000000"/>
          <w:sz w:val="22"/>
          <w:szCs w:val="22"/>
          <w:lang w:val="en-GB"/>
        </w:rPr>
        <w:t xml:space="preserve"> on a question of interpretation of domestic law</w:t>
      </w:r>
      <w:r w:rsidR="003E41E5" w:rsidRPr="003E41E5">
        <w:rPr>
          <w:rFonts w:ascii="Arial" w:hAnsi="Arial" w:cs="Arial"/>
          <w:color w:val="000000"/>
          <w:sz w:val="22"/>
          <w:szCs w:val="22"/>
          <w:lang w:val="en-GB"/>
        </w:rPr>
        <w:t>.”</w:t>
      </w:r>
    </w:p>
    <w:p w14:paraId="2F3BD4E6" w14:textId="77777777" w:rsidR="003E41E5" w:rsidRDefault="003E41E5" w:rsidP="008F43AC">
      <w:pPr>
        <w:autoSpaceDE w:val="0"/>
        <w:autoSpaceDN w:val="0"/>
        <w:adjustRightInd w:val="0"/>
        <w:spacing w:after="240"/>
        <w:jc w:val="both"/>
        <w:rPr>
          <w:rFonts w:ascii="Arial" w:hAnsi="Arial" w:cs="Arial"/>
          <w:b/>
          <w:bCs/>
          <w:color w:val="000000"/>
          <w:sz w:val="22"/>
          <w:szCs w:val="22"/>
          <w:u w:val="single"/>
          <w:lang w:val="en-GB"/>
        </w:rPr>
      </w:pPr>
    </w:p>
    <w:p w14:paraId="25634343" w14:textId="77777777" w:rsidR="003E41E5" w:rsidRDefault="003E41E5" w:rsidP="008F43AC">
      <w:pPr>
        <w:autoSpaceDE w:val="0"/>
        <w:autoSpaceDN w:val="0"/>
        <w:adjustRightInd w:val="0"/>
        <w:spacing w:after="240"/>
        <w:jc w:val="both"/>
        <w:rPr>
          <w:rFonts w:ascii="Arial" w:hAnsi="Arial" w:cs="Arial"/>
          <w:b/>
          <w:bCs/>
          <w:color w:val="000000"/>
          <w:sz w:val="22"/>
          <w:szCs w:val="22"/>
          <w:u w:val="single"/>
          <w:lang w:val="en-GB"/>
        </w:rPr>
      </w:pPr>
    </w:p>
    <w:p w14:paraId="6C1834A8" w14:textId="77777777" w:rsidR="003E41E5" w:rsidRDefault="003E41E5" w:rsidP="008F43AC">
      <w:pPr>
        <w:autoSpaceDE w:val="0"/>
        <w:autoSpaceDN w:val="0"/>
        <w:adjustRightInd w:val="0"/>
        <w:spacing w:after="240"/>
        <w:jc w:val="both"/>
        <w:rPr>
          <w:rFonts w:ascii="Arial" w:hAnsi="Arial" w:cs="Arial"/>
          <w:b/>
          <w:bCs/>
          <w:color w:val="000000"/>
          <w:sz w:val="22"/>
          <w:szCs w:val="22"/>
          <w:u w:val="single"/>
          <w:lang w:val="en-GB"/>
        </w:rPr>
      </w:pPr>
    </w:p>
    <w:p w14:paraId="77A910A2" w14:textId="77777777" w:rsidR="003E41E5" w:rsidRDefault="003E41E5" w:rsidP="008F43AC">
      <w:pPr>
        <w:autoSpaceDE w:val="0"/>
        <w:autoSpaceDN w:val="0"/>
        <w:adjustRightInd w:val="0"/>
        <w:spacing w:after="240"/>
        <w:jc w:val="both"/>
        <w:rPr>
          <w:rFonts w:ascii="Arial" w:hAnsi="Arial" w:cs="Arial"/>
          <w:b/>
          <w:bCs/>
          <w:color w:val="000000"/>
          <w:sz w:val="22"/>
          <w:szCs w:val="22"/>
          <w:u w:val="single"/>
          <w:lang w:val="en-GB"/>
        </w:rPr>
      </w:pPr>
    </w:p>
    <w:p w14:paraId="128E1CCF" w14:textId="77777777" w:rsidR="008F43AC" w:rsidRPr="003E41E5" w:rsidRDefault="008F43AC" w:rsidP="008F43AC">
      <w:pPr>
        <w:autoSpaceDE w:val="0"/>
        <w:autoSpaceDN w:val="0"/>
        <w:adjustRightInd w:val="0"/>
        <w:spacing w:after="240"/>
        <w:jc w:val="both"/>
        <w:rPr>
          <w:rFonts w:ascii="Arial" w:hAnsi="Arial" w:cs="Arial"/>
          <w:b/>
          <w:bCs/>
          <w:color w:val="000000"/>
          <w:sz w:val="22"/>
          <w:szCs w:val="22"/>
          <w:u w:val="single"/>
          <w:lang w:val="en-GB"/>
        </w:rPr>
      </w:pPr>
      <w:r w:rsidRPr="003E41E5">
        <w:rPr>
          <w:rFonts w:ascii="Arial" w:hAnsi="Arial" w:cs="Arial"/>
          <w:b/>
          <w:bCs/>
          <w:color w:val="000000"/>
          <w:sz w:val="22"/>
          <w:szCs w:val="22"/>
          <w:u w:val="single"/>
          <w:lang w:val="en-GB"/>
        </w:rPr>
        <w:lastRenderedPageBreak/>
        <w:t>Selection of sympathetic HRA challenges that did not go to court</w:t>
      </w:r>
    </w:p>
    <w:p w14:paraId="5AC32E0C" w14:textId="4A9011A7" w:rsidR="008F43AC" w:rsidRPr="003E41E5" w:rsidRDefault="008F43AC" w:rsidP="008F43AC">
      <w:pPr>
        <w:pStyle w:val="ListParagraph"/>
        <w:numPr>
          <w:ilvl w:val="0"/>
          <w:numId w:val="3"/>
        </w:num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sz w:val="22"/>
          <w:szCs w:val="22"/>
          <w:lang w:val="en-GB"/>
        </w:rPr>
        <w:t>Most cases where the HRA is used do not involve going to court, but are either settled in advance, or resolved with support from NGOs, lawyers, or even well informed individuals, using the HRA and rights it protects to pressure public authorities to change their behaviour. Some examples of cases where human rights act was used without need to go to court, thus showing why section 6 encourages institutions to change their behaviour and gives individuals a language and route to challenge violations (courtesy of BIHR reports):</w:t>
      </w:r>
    </w:p>
    <w:p w14:paraId="0CCA76E0" w14:textId="77777777" w:rsidR="008F43AC" w:rsidRPr="003E41E5" w:rsidRDefault="008F43AC" w:rsidP="008F43AC">
      <w:pPr>
        <w:autoSpaceDE w:val="0"/>
        <w:autoSpaceDN w:val="0"/>
        <w:adjustRightInd w:val="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2.</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Keeping elderly couples together</w:t>
      </w:r>
    </w:p>
    <w:p w14:paraId="4E3F3429" w14:textId="77777777" w:rsidR="008F43AC" w:rsidRPr="003E41E5" w:rsidRDefault="008F43AC" w:rsidP="008F43AC">
      <w:pPr>
        <w:autoSpaceDE w:val="0"/>
        <w:autoSpaceDN w:val="0"/>
        <w:adjustRightInd w:val="0"/>
        <w:jc w:val="both"/>
        <w:rPr>
          <w:rFonts w:ascii="Arial" w:hAnsi="Arial" w:cs="Arial"/>
          <w:b/>
          <w:bCs/>
          <w:color w:val="000000" w:themeColor="text1"/>
          <w:sz w:val="22"/>
          <w:szCs w:val="22"/>
          <w:lang w:val="en-GB"/>
        </w:rPr>
      </w:pPr>
    </w:p>
    <w:p w14:paraId="69C0D8FE" w14:textId="77777777" w:rsidR="008F43AC" w:rsidRPr="003E41E5" w:rsidRDefault="008F43AC" w:rsidP="008F43AC">
      <w:pPr>
        <w:autoSpaceDE w:val="0"/>
        <w:autoSpaceDN w:val="0"/>
        <w:adjustRightInd w:val="0"/>
        <w:jc w:val="both"/>
        <w:rPr>
          <w:rFonts w:ascii="Arial" w:hAnsi="Arial" w:cs="Arial"/>
          <w:color w:val="000000" w:themeColor="text1"/>
          <w:sz w:val="22"/>
          <w:szCs w:val="22"/>
          <w:lang w:val="en-GB"/>
        </w:rPr>
      </w:pPr>
      <w:r w:rsidRPr="003E41E5">
        <w:rPr>
          <w:rFonts w:ascii="Arial" w:hAnsi="Arial" w:cs="Arial"/>
          <w:b/>
          <w:bCs/>
          <w:color w:val="000000" w:themeColor="text1"/>
          <w:sz w:val="22"/>
          <w:szCs w:val="22"/>
          <w:lang w:val="en-GB"/>
        </w:rPr>
        <w:t>By</w:t>
      </w:r>
      <w:r w:rsidRPr="003E41E5">
        <w:rPr>
          <w:rFonts w:ascii="Arial" w:hAnsi="Arial" w:cs="Arial"/>
          <w:color w:val="000000" w:themeColor="text1"/>
          <w:sz w:val="22"/>
          <w:szCs w:val="22"/>
          <w:lang w:val="en-GB"/>
        </w:rPr>
        <w:t xml:space="preserve"> </w:t>
      </w:r>
      <w:hyperlink r:id="rId12" w:history="1">
        <w:r w:rsidRPr="003E41E5">
          <w:rPr>
            <w:rFonts w:ascii="Arial" w:hAnsi="Arial" w:cs="Arial"/>
            <w:color w:val="000000" w:themeColor="text1"/>
            <w:sz w:val="22"/>
            <w:szCs w:val="22"/>
            <w:lang w:val="en-GB"/>
          </w:rPr>
          <w:t>Counsel and Care</w:t>
        </w:r>
      </w:hyperlink>
      <w:r w:rsidRPr="003E41E5">
        <w:rPr>
          <w:rFonts w:ascii="Arial" w:hAnsi="Arial" w:cs="Arial"/>
          <w:color w:val="000000" w:themeColor="text1"/>
          <w:sz w:val="22"/>
          <w:szCs w:val="22"/>
          <w:lang w:val="en-GB"/>
        </w:rPr>
        <w:t xml:space="preserve"> </w:t>
      </w:r>
      <w:proofErr w:type="gramStart"/>
      <w:r w:rsidRPr="003E41E5">
        <w:rPr>
          <w:rFonts w:ascii="Arial" w:hAnsi="Arial" w:cs="Arial"/>
          <w:b/>
          <w:bCs/>
          <w:color w:val="000000" w:themeColor="text1"/>
          <w:sz w:val="22"/>
          <w:szCs w:val="22"/>
          <w:lang w:val="en-GB"/>
        </w:rPr>
        <w:t>On</w:t>
      </w:r>
      <w:proofErr w:type="gramEnd"/>
      <w:r w:rsidRPr="003E41E5">
        <w:rPr>
          <w:rFonts w:ascii="Arial" w:hAnsi="Arial" w:cs="Arial"/>
          <w:color w:val="000000" w:themeColor="text1"/>
          <w:sz w:val="22"/>
          <w:szCs w:val="22"/>
          <w:lang w:val="en-GB"/>
        </w:rPr>
        <w:t xml:space="preserve"> 08/06/2011</w:t>
      </w:r>
    </w:p>
    <w:p w14:paraId="265168C8"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Mr V contacted Counsel and Care when social services threatened to move his wife into a care home which was some distance from the family. Mrs V has Alzheimer’s and is blind. Mrs V had temporarily moved into a local nursing home after being hurt in a fall. Mr V was also injured in the fall, and unable to care for his wife at home. Social services decided Mrs V should be moved to a permanent care home but Mr V disagreed with the home social services chose, because it was too far for him and other family members to travel to see Mrs V. Counsel and Care helped Mr V to challenge this decision, by providing information on community care laws, and combining this with the argument that social services needed to consider Mr V's right to private and family life under the HRA (Article 8). This helped Mr V persuade social services to allow Mrs V to remain in the nursing home close to her family.</w:t>
      </w:r>
    </w:p>
    <w:p w14:paraId="1C2D98B3" w14:textId="77777777" w:rsidR="008F43AC" w:rsidRPr="003E41E5" w:rsidRDefault="008F43AC" w:rsidP="008F43AC">
      <w:pPr>
        <w:autoSpaceDE w:val="0"/>
        <w:autoSpaceDN w:val="0"/>
        <w:adjustRightInd w:val="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3.</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Human rights stopping blanket use of Do Not Resuscitate Orders</w:t>
      </w:r>
    </w:p>
    <w:p w14:paraId="1C47CEEA" w14:textId="77777777" w:rsidR="008F43AC" w:rsidRPr="003E41E5" w:rsidRDefault="008F43AC" w:rsidP="008F43AC">
      <w:pPr>
        <w:autoSpaceDE w:val="0"/>
        <w:autoSpaceDN w:val="0"/>
        <w:adjustRightInd w:val="0"/>
        <w:ind w:left="720"/>
        <w:jc w:val="both"/>
        <w:rPr>
          <w:rFonts w:ascii="Arial" w:hAnsi="Arial" w:cs="Arial"/>
          <w:b/>
          <w:bCs/>
          <w:color w:val="000000" w:themeColor="text1"/>
          <w:sz w:val="22"/>
          <w:szCs w:val="22"/>
          <w:lang w:val="en-GB"/>
        </w:rPr>
      </w:pPr>
    </w:p>
    <w:p w14:paraId="09D9B037" w14:textId="77777777" w:rsidR="008F43AC" w:rsidRPr="003E41E5" w:rsidRDefault="008F43AC" w:rsidP="008F43AC">
      <w:pPr>
        <w:autoSpaceDE w:val="0"/>
        <w:autoSpaceDN w:val="0"/>
        <w:adjustRightInd w:val="0"/>
        <w:jc w:val="both"/>
        <w:rPr>
          <w:rFonts w:ascii="Arial" w:hAnsi="Arial" w:cs="Arial"/>
          <w:color w:val="000000" w:themeColor="text1"/>
          <w:sz w:val="22"/>
          <w:szCs w:val="22"/>
          <w:lang w:val="en-GB"/>
        </w:rPr>
      </w:pPr>
      <w:r w:rsidRPr="003E41E5">
        <w:rPr>
          <w:rFonts w:ascii="Arial" w:hAnsi="Arial" w:cs="Arial"/>
          <w:b/>
          <w:bCs/>
          <w:color w:val="000000" w:themeColor="text1"/>
          <w:sz w:val="22"/>
          <w:szCs w:val="22"/>
          <w:lang w:val="en-GB"/>
        </w:rPr>
        <w:t>By</w:t>
      </w:r>
      <w:r w:rsidRPr="003E41E5">
        <w:rPr>
          <w:rFonts w:ascii="Arial" w:hAnsi="Arial" w:cs="Arial"/>
          <w:color w:val="000000" w:themeColor="text1"/>
          <w:sz w:val="22"/>
          <w:szCs w:val="22"/>
          <w:lang w:val="en-GB"/>
        </w:rPr>
        <w:t xml:space="preserve"> </w:t>
      </w:r>
      <w:hyperlink r:id="rId13" w:history="1">
        <w:proofErr w:type="spellStart"/>
        <w:r w:rsidRPr="003E41E5">
          <w:rPr>
            <w:rFonts w:ascii="Arial" w:hAnsi="Arial" w:cs="Arial"/>
            <w:color w:val="000000" w:themeColor="text1"/>
            <w:sz w:val="22"/>
            <w:szCs w:val="22"/>
            <w:lang w:val="en-GB"/>
          </w:rPr>
          <w:t>POhWER</w:t>
        </w:r>
        <w:proofErr w:type="spellEnd"/>
      </w:hyperlink>
      <w:r w:rsidRPr="003E41E5">
        <w:rPr>
          <w:rFonts w:ascii="Arial" w:hAnsi="Arial" w:cs="Arial"/>
          <w:color w:val="000000" w:themeColor="text1"/>
          <w:sz w:val="22"/>
          <w:szCs w:val="22"/>
          <w:lang w:val="en-GB"/>
        </w:rPr>
        <w:t xml:space="preserve"> </w:t>
      </w:r>
      <w:proofErr w:type="gramStart"/>
      <w:r w:rsidRPr="003E41E5">
        <w:rPr>
          <w:rFonts w:ascii="Arial" w:hAnsi="Arial" w:cs="Arial"/>
          <w:b/>
          <w:bCs/>
          <w:color w:val="000000" w:themeColor="text1"/>
          <w:sz w:val="22"/>
          <w:szCs w:val="22"/>
          <w:lang w:val="en-GB"/>
        </w:rPr>
        <w:t>On</w:t>
      </w:r>
      <w:proofErr w:type="gramEnd"/>
      <w:r w:rsidRPr="003E41E5">
        <w:rPr>
          <w:rFonts w:ascii="Arial" w:hAnsi="Arial" w:cs="Arial"/>
          <w:color w:val="000000" w:themeColor="text1"/>
          <w:sz w:val="22"/>
          <w:szCs w:val="22"/>
          <w:lang w:val="en-GB"/>
        </w:rPr>
        <w:t xml:space="preserve"> 17/11/2010</w:t>
      </w:r>
    </w:p>
    <w:p w14:paraId="7F49F336"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An older man with dementia was admitted to hospital. He was placed on a ward in which every patient had a ‘do not resuscitate’ order placed on their file.</w:t>
      </w:r>
    </w:p>
    <w:p w14:paraId="53045886"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His advocate came to visit him and noticed the DNR, which wasn’t signed by a doctor. She queried it and was told that everyone on the ward had a DNR automatically.</w:t>
      </w:r>
    </w:p>
    <w:p w14:paraId="68C4FAE6"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The client was not aware of the DNR and his advocate believed him to have some level of capacity to take the information on board. In addition he had two estranged daughters who had visited but were not consulted or informed. She challenged this using the right to life and the right not to be discriminated against.</w:t>
      </w:r>
    </w:p>
    <w:p w14:paraId="4AD405EF" w14:textId="42F47F43" w:rsidR="003E41E5"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The DNR was withdrawn.</w:t>
      </w:r>
    </w:p>
    <w:p w14:paraId="37A93E90" w14:textId="77777777" w:rsidR="008F43AC" w:rsidRPr="003E41E5" w:rsidRDefault="008F43AC" w:rsidP="003E41E5">
      <w:pPr>
        <w:autoSpaceDE w:val="0"/>
        <w:autoSpaceDN w:val="0"/>
        <w:adjustRightInd w:val="0"/>
        <w:spacing w:before="240" w:after="12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4.</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Family life protected</w:t>
      </w:r>
    </w:p>
    <w:p w14:paraId="72D1DB59" w14:textId="77777777" w:rsidR="008F43AC" w:rsidRPr="003E41E5" w:rsidRDefault="008F43AC" w:rsidP="008F43AC">
      <w:pPr>
        <w:autoSpaceDE w:val="0"/>
        <w:autoSpaceDN w:val="0"/>
        <w:adjustRightInd w:val="0"/>
        <w:jc w:val="both"/>
        <w:rPr>
          <w:rFonts w:ascii="Arial" w:hAnsi="Arial" w:cs="Arial"/>
          <w:color w:val="000000" w:themeColor="text1"/>
          <w:sz w:val="22"/>
          <w:szCs w:val="22"/>
          <w:lang w:val="en-GB"/>
        </w:rPr>
      </w:pPr>
      <w:r w:rsidRPr="003E41E5">
        <w:rPr>
          <w:rFonts w:ascii="Arial" w:hAnsi="Arial" w:cs="Arial"/>
          <w:b/>
          <w:bCs/>
          <w:color w:val="000000" w:themeColor="text1"/>
          <w:sz w:val="22"/>
          <w:szCs w:val="22"/>
          <w:lang w:val="en-GB"/>
        </w:rPr>
        <w:t>By</w:t>
      </w:r>
      <w:r w:rsidRPr="003E41E5">
        <w:rPr>
          <w:rFonts w:ascii="Arial" w:hAnsi="Arial" w:cs="Arial"/>
          <w:color w:val="000000" w:themeColor="text1"/>
          <w:sz w:val="22"/>
          <w:szCs w:val="22"/>
          <w:lang w:val="en-GB"/>
        </w:rPr>
        <w:t xml:space="preserve"> </w:t>
      </w:r>
      <w:hyperlink r:id="rId14" w:history="1">
        <w:proofErr w:type="spellStart"/>
        <w:r w:rsidRPr="003E41E5">
          <w:rPr>
            <w:rFonts w:ascii="Arial" w:hAnsi="Arial" w:cs="Arial"/>
            <w:color w:val="000000" w:themeColor="text1"/>
            <w:sz w:val="22"/>
            <w:szCs w:val="22"/>
            <w:lang w:val="en-GB"/>
          </w:rPr>
          <w:t>POhWER</w:t>
        </w:r>
        <w:proofErr w:type="spellEnd"/>
      </w:hyperlink>
      <w:r w:rsidRPr="003E41E5">
        <w:rPr>
          <w:rFonts w:ascii="Arial" w:hAnsi="Arial" w:cs="Arial"/>
          <w:color w:val="000000" w:themeColor="text1"/>
          <w:sz w:val="22"/>
          <w:szCs w:val="22"/>
          <w:lang w:val="en-GB"/>
        </w:rPr>
        <w:t xml:space="preserve"> </w:t>
      </w:r>
      <w:proofErr w:type="gramStart"/>
      <w:r w:rsidRPr="003E41E5">
        <w:rPr>
          <w:rFonts w:ascii="Arial" w:hAnsi="Arial" w:cs="Arial"/>
          <w:b/>
          <w:bCs/>
          <w:color w:val="000000" w:themeColor="text1"/>
          <w:sz w:val="22"/>
          <w:szCs w:val="22"/>
          <w:lang w:val="en-GB"/>
        </w:rPr>
        <w:t>On</w:t>
      </w:r>
      <w:proofErr w:type="gramEnd"/>
      <w:r w:rsidRPr="003E41E5">
        <w:rPr>
          <w:rFonts w:ascii="Arial" w:hAnsi="Arial" w:cs="Arial"/>
          <w:color w:val="000000" w:themeColor="text1"/>
          <w:sz w:val="22"/>
          <w:szCs w:val="22"/>
          <w:lang w:val="en-GB"/>
        </w:rPr>
        <w:t xml:space="preserve"> 17/11/2010</w:t>
      </w:r>
    </w:p>
    <w:p w14:paraId="77D8D8A5"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man in his early 30s with severe autism had been in the care of his foster mum since the age of two. She also fostered babies with learning difficulties. A baby died in her care and this was investigated by the authorities.</w:t>
      </w:r>
    </w:p>
    <w:p w14:paraId="54FC20C2"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During the investigation the man was placed in respite care, without any formal procedures being followed. His foster mum was prevented from visiting him. After a number of calls she was told she could bring him a present on his birthday, but when she turned up she was not permitted to see him. He began to get very unwell due to stress and 5 months after being separated from his foster mum he was admitted to hospital.</w:t>
      </w:r>
    </w:p>
    <w:p w14:paraId="6781A531"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The man wouldn’t let the doctors treat him and an advocate became involved. She argued that his right to respect for family life was not being respected as his foster mum was to all intents and purposes his mum. She also raised concerns about his right to liberty given the informal nature of the separation. A social worker told her ‘well, now he’s out we might as well keep him out as he’d have to move sometime’ referring to the fact that his foster mum was in her 60s. After being supported by his advocate he was </w:t>
      </w:r>
      <w:r w:rsidRPr="003E41E5">
        <w:rPr>
          <w:rFonts w:ascii="Arial" w:hAnsi="Arial" w:cs="Arial"/>
          <w:color w:val="000000" w:themeColor="text1"/>
          <w:sz w:val="22"/>
          <w:szCs w:val="22"/>
          <w:lang w:val="en-GB"/>
        </w:rPr>
        <w:lastRenderedPageBreak/>
        <w:t>returned to the care of his foster mum and the authorities admitted that there had never been any concerns regarding her treatment of him. They admitted he’d been forgotten in the system and the service manager went to his home to apologise and learnt to say sorry in Makaton.</w:t>
      </w:r>
    </w:p>
    <w:p w14:paraId="73AB2629" w14:textId="77777777" w:rsidR="008F43AC" w:rsidRPr="003E41E5" w:rsidRDefault="008F43AC" w:rsidP="008F43AC">
      <w:pPr>
        <w:autoSpaceDE w:val="0"/>
        <w:autoSpaceDN w:val="0"/>
        <w:adjustRightInd w:val="0"/>
        <w:spacing w:after="1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His advocate said that the positive outcome was a direct result of her heavily using the Human Rights Act in advocating for him, ‘human rights absolutely made a difference.’</w:t>
      </w:r>
    </w:p>
    <w:p w14:paraId="07E3D92D" w14:textId="77777777" w:rsidR="008F43AC" w:rsidRPr="003E41E5" w:rsidRDefault="008F43AC" w:rsidP="008F43AC">
      <w:pPr>
        <w:autoSpaceDE w:val="0"/>
        <w:autoSpaceDN w:val="0"/>
        <w:adjustRightInd w:val="0"/>
        <w:spacing w:after="120"/>
        <w:jc w:val="both"/>
        <w:rPr>
          <w:rFonts w:ascii="Arial" w:hAnsi="Arial" w:cs="Arial"/>
          <w:b/>
          <w:bCs/>
          <w:i/>
          <w:iCs/>
          <w:color w:val="000000" w:themeColor="text1"/>
          <w:sz w:val="22"/>
          <w:szCs w:val="22"/>
          <w:u w:val="single"/>
          <w:lang w:val="en-GB"/>
        </w:rPr>
      </w:pPr>
      <w:r w:rsidRPr="003E41E5">
        <w:rPr>
          <w:rFonts w:ascii="Arial" w:hAnsi="Arial" w:cs="Arial"/>
          <w:b/>
          <w:bCs/>
          <w:i/>
          <w:iCs/>
          <w:color w:val="000000" w:themeColor="text1"/>
          <w:sz w:val="22"/>
          <w:szCs w:val="22"/>
          <w:u w:val="single"/>
          <w:lang w:val="en-GB"/>
        </w:rPr>
        <w:t>The following are all examples from BIHR research:</w:t>
      </w:r>
    </w:p>
    <w:p w14:paraId="4B0F4493"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5.</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 xml:space="preserve">When Staff refused to clean up a man’s bodily </w:t>
      </w:r>
      <w:proofErr w:type="gramStart"/>
      <w:r w:rsidRPr="003E41E5">
        <w:rPr>
          <w:rFonts w:ascii="Arial" w:hAnsi="Arial" w:cs="Arial"/>
          <w:b/>
          <w:bCs/>
          <w:color w:val="000000" w:themeColor="text1"/>
          <w:sz w:val="22"/>
          <w:szCs w:val="22"/>
          <w:lang w:val="en-GB"/>
        </w:rPr>
        <w:t>waste</w:t>
      </w:r>
      <w:proofErr w:type="gramEnd"/>
      <w:r w:rsidRPr="003E41E5">
        <w:rPr>
          <w:rFonts w:ascii="Arial" w:hAnsi="Arial" w:cs="Arial"/>
          <w:b/>
          <w:bCs/>
          <w:color w:val="000000" w:themeColor="text1"/>
          <w:sz w:val="22"/>
          <w:szCs w:val="22"/>
          <w:lang w:val="en-GB"/>
        </w:rPr>
        <w:t xml:space="preserve"> </w:t>
      </w:r>
    </w:p>
    <w:p w14:paraId="23C6A235"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man detained in a maximum security mental health hospital was placed in seclusion where he repeatedly soiled himself. Staff declined to clean up the faeces and urine or to move the man to another room, claiming that he would simply make the same mess again, and any intervention was therefore pointless. The man’s advocate, having attended a BIHR training session, invoked human rights arguments to challenge this practice. He argued that this treatment breached the man’s right not to be treated in an inhuman and degrading way, and his right to respect for private life. These arguments were successful and the next time he soiled himself, the man was cleaned and moved to a new room.</w:t>
      </w:r>
    </w:p>
    <w:p w14:paraId="164986D3"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6.</w:t>
      </w:r>
      <w:r w:rsidRPr="003E41E5">
        <w:rPr>
          <w:rFonts w:ascii="Arial" w:hAnsi="Arial" w:cs="Arial"/>
          <w:color w:val="000000" w:themeColor="text1"/>
          <w:sz w:val="22"/>
          <w:szCs w:val="22"/>
          <w:lang w:val="en-GB"/>
        </w:rPr>
        <w:tab/>
        <w:t xml:space="preserve"> </w:t>
      </w:r>
      <w:r w:rsidRPr="003E41E5">
        <w:rPr>
          <w:rFonts w:ascii="Arial" w:hAnsi="Arial" w:cs="Arial"/>
          <w:b/>
          <w:bCs/>
          <w:color w:val="000000" w:themeColor="text1"/>
          <w:sz w:val="22"/>
          <w:szCs w:val="22"/>
          <w:lang w:val="en-GB"/>
        </w:rPr>
        <w:t>Securing accommodation for domestic violence victims</w:t>
      </w:r>
    </w:p>
    <w:p w14:paraId="1DC60FA4"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social worker from a domestic violence team at a local authority realised during a BIHR training session that human rights language could be used to secure new accommodation for a woman and her children at risk of serious harm from a violent ex-partner. Previously, when she had approached the housing department seeking emergency accommodation for the family, she had been told there was nothing available. During the training session she explained her view that the authority had overriding positive obligations to protect the right of the woman and her children not to be treated in an inhuman and degrading way and, given the extreme risk in this case, their right to life.</w:t>
      </w:r>
    </w:p>
    <w:p w14:paraId="5252C8E4"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7.</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 xml:space="preserve"> Older couple split up by local authority after 65 years of marriage</w:t>
      </w:r>
    </w:p>
    <w:p w14:paraId="4CF1A327"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husband and wife had lived together for over 65 years. He was unable to walk unaided and relied on his wife to help him move around. She was blind and used her husband as her eyes. They were separated after he fell ill and was moved into a residential care home. She asked to come with him but was told by the local authority that she did not fi t the criteria. Speaking to the media, she said ‘We have never been separated in all our years and for it to happen now, when we need each other so much, is so upsetting. I am lost without him – we were a partnership’. A public campaign launched by the family, supported by the media and various human rights experts and older people’s organisations, argued that the local authority had breached the couple’s right to respect for family life (Article 8). The authority agreed to reverse its decision and offered the wife a subsidised place so that she could join her husband in the care home.</w:t>
      </w:r>
    </w:p>
    <w:p w14:paraId="6D0CDE37"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8.</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 xml:space="preserve"> Young learning disabled girl denied school transport</w:t>
      </w:r>
    </w:p>
    <w:p w14:paraId="21B5D606" w14:textId="77777777" w:rsidR="008F43AC"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local authority had a policy of providing school transport for children with special educational needs living more than 3 miles from their school. A young learning disabled girl lived 2.8 miles from the special school she attended. Despite being unable to travel independently, she was advised by the authority that she should instead take two buses to and from school each day. An independent parental supporter who had attended a BIHR training session supported the girl’s mother to challenge the decision using human rights language. The mother approached the head teacher of the school and explained that the decision was a disproportionate interference with her daughter’s right to respect for private life, given the failure to consider her specific c circumstances. The head teacher took the issue to the local authority, and the decision was reversed. Thereafter the young girl was provided with transport to and from school</w:t>
      </w:r>
    </w:p>
    <w:p w14:paraId="603532CD" w14:textId="77777777" w:rsidR="00413D16" w:rsidRPr="003E41E5" w:rsidRDefault="00413D16" w:rsidP="008F43AC">
      <w:pPr>
        <w:autoSpaceDE w:val="0"/>
        <w:autoSpaceDN w:val="0"/>
        <w:adjustRightInd w:val="0"/>
        <w:spacing w:after="240"/>
        <w:jc w:val="both"/>
        <w:rPr>
          <w:rFonts w:ascii="Arial" w:hAnsi="Arial" w:cs="Arial"/>
          <w:color w:val="000000" w:themeColor="text1"/>
          <w:sz w:val="22"/>
          <w:szCs w:val="22"/>
          <w:lang w:val="en-GB"/>
        </w:rPr>
      </w:pPr>
      <w:bookmarkStart w:id="0" w:name="_GoBack"/>
      <w:bookmarkEnd w:id="0"/>
    </w:p>
    <w:p w14:paraId="57E06956"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lastRenderedPageBreak/>
        <w:t>9.</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 xml:space="preserve"> Residential care home refuses to bathe a larger woman</w:t>
      </w:r>
    </w:p>
    <w:p w14:paraId="5735FB2E"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Source: Independent Living Advocacy (Essex) </w:t>
      </w:r>
    </w:p>
    <w:p w14:paraId="4CF205FA"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larger woman in residential care had not been showered or bathed for many weeks. The care home, with the agreement of the local authority which funded her care, had been providing her instead with a ‘strip’ wash so that staff did not have to lift her. The woman was very upset about the situation, especially because warmer weather was causing her to perspire. After receiving BIHR training, her advocate wrote to the care home and the local authority and invoked her right not to be treated in an inhuman and degrading way. Within days a new occupational therapist was brought in to explore options and it was quickly agreed that a hoist could be used. From this point onwards the woman was able to take a bath or shower according to her wishes</w:t>
      </w:r>
    </w:p>
    <w:p w14:paraId="7BDC21BB"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10.</w:t>
      </w:r>
      <w:r w:rsidRPr="003E41E5">
        <w:rPr>
          <w:rFonts w:ascii="Arial" w:hAnsi="Arial" w:cs="Arial"/>
          <w:color w:val="000000" w:themeColor="text1"/>
          <w:sz w:val="22"/>
          <w:szCs w:val="22"/>
          <w:lang w:val="en-GB"/>
        </w:rPr>
        <w:tab/>
        <w:t xml:space="preserve"> </w:t>
      </w:r>
      <w:r w:rsidRPr="003E41E5">
        <w:rPr>
          <w:rFonts w:ascii="Arial" w:hAnsi="Arial" w:cs="Arial"/>
          <w:b/>
          <w:bCs/>
          <w:color w:val="000000" w:themeColor="text1"/>
          <w:sz w:val="22"/>
          <w:szCs w:val="22"/>
          <w:lang w:val="en-GB"/>
        </w:rPr>
        <w:t xml:space="preserve">Challenging a decision to remove children from a mother living in poverty, who was in temporary accommodation to escape an abusive </w:t>
      </w:r>
      <w:proofErr w:type="gramStart"/>
      <w:r w:rsidRPr="003E41E5">
        <w:rPr>
          <w:rFonts w:ascii="Arial" w:hAnsi="Arial" w:cs="Arial"/>
          <w:b/>
          <w:bCs/>
          <w:color w:val="000000" w:themeColor="text1"/>
          <w:sz w:val="22"/>
          <w:szCs w:val="22"/>
          <w:lang w:val="en-GB"/>
        </w:rPr>
        <w:t>father.</w:t>
      </w:r>
      <w:proofErr w:type="gramEnd"/>
      <w:r w:rsidRPr="003E41E5">
        <w:rPr>
          <w:rFonts w:ascii="Arial" w:hAnsi="Arial" w:cs="Arial"/>
          <w:b/>
          <w:bCs/>
          <w:color w:val="000000" w:themeColor="text1"/>
          <w:sz w:val="22"/>
          <w:szCs w:val="22"/>
          <w:lang w:val="en-GB"/>
        </w:rPr>
        <w:t xml:space="preserve"> </w:t>
      </w:r>
    </w:p>
    <w:p w14:paraId="470701F0"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A woman living in poverty left her partner after discovering that he had been abusing their children. She and the children were placed in temporary bed and breakfast accommodation but were regularly moved. Over a period of six months, the family was accommodated in three different London boroughs. Eventually, the woman was informed by social workers that the children would be removed from her and taken into care. They claimed that she was an ‘unfit’ parent because she was unable to provide stability for her children and was having difficulty getting them to school. A local support group helped the woman to prepare for a case conference with the social services department. With help from the group, the woman invoked her children’s right to respect for private and family life and their right to education and asked the authority to prove, on the basis of its track record, that it was better placed than her to secure these rights for her children. After being challenged in this way, the department decided not to remove the children, although they remained on the ‘children at risk’ register. Within three weeks, stable accommodation was found for the family and they were assisted to purchase the furniture and other goods required to set up a home together. </w:t>
      </w:r>
    </w:p>
    <w:p w14:paraId="72E22987"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11.</w:t>
      </w:r>
      <w:r w:rsidRPr="003E41E5">
        <w:rPr>
          <w:rFonts w:ascii="Arial" w:hAnsi="Arial" w:cs="Arial"/>
          <w:color w:val="000000" w:themeColor="text1"/>
          <w:sz w:val="22"/>
          <w:szCs w:val="22"/>
          <w:lang w:val="en-GB"/>
        </w:rPr>
        <w:tab/>
        <w:t xml:space="preserve"> </w:t>
      </w:r>
      <w:r w:rsidRPr="003E41E5">
        <w:rPr>
          <w:rFonts w:ascii="Arial" w:hAnsi="Arial" w:cs="Arial"/>
          <w:b/>
          <w:bCs/>
          <w:color w:val="000000" w:themeColor="text1"/>
          <w:sz w:val="22"/>
          <w:szCs w:val="22"/>
          <w:lang w:val="en-GB"/>
        </w:rPr>
        <w:t>Learning disabled couple challenge the use of CCTV cameras in their bedroom at night</w:t>
      </w:r>
    </w:p>
    <w:p w14:paraId="69601BF9"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Source: ATD Fourth World</w:t>
      </w:r>
    </w:p>
    <w:p w14:paraId="271E0A15"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A learning disabled couple were living in a residential assessment centre so their parenting skills could be assessed by the local social services department. CCTV cameras were installed, including in their bedroom. Social workers explained that the cameras were there to observe them performing their parental duties and for the protection of their baby. The couple were especially distressed by use of the CCTV cameras in their bedroom during the night. With the help of a visiting neighbour, the couple successfully invoked their right to respect for private life. They explained that they did not want their intimacy to be monitored, and that, besides, the baby slept in a separate nursery. As a result, the social services team agreed to switch off the cameras during the night so that the couple could enjoy their evenings together in privacy.</w:t>
      </w:r>
    </w:p>
    <w:p w14:paraId="46758D50" w14:textId="77777777" w:rsidR="008F43AC" w:rsidRPr="003E41E5" w:rsidRDefault="008F43AC" w:rsidP="008F43AC">
      <w:pPr>
        <w:autoSpaceDE w:val="0"/>
        <w:autoSpaceDN w:val="0"/>
        <w:adjustRightInd w:val="0"/>
        <w:spacing w:after="240"/>
        <w:jc w:val="both"/>
        <w:rPr>
          <w:rFonts w:ascii="Arial" w:hAnsi="Arial" w:cs="Arial"/>
          <w:b/>
          <w:bCs/>
          <w:color w:val="000000" w:themeColor="text1"/>
          <w:sz w:val="22"/>
          <w:szCs w:val="22"/>
          <w:u w:val="single"/>
          <w:lang w:val="en-GB"/>
        </w:rPr>
      </w:pPr>
      <w:r w:rsidRPr="003E41E5">
        <w:rPr>
          <w:rFonts w:ascii="Arial" w:hAnsi="Arial" w:cs="Arial"/>
          <w:b/>
          <w:bCs/>
          <w:color w:val="000000" w:themeColor="text1"/>
          <w:sz w:val="22"/>
          <w:szCs w:val="22"/>
          <w:u w:val="single"/>
          <w:lang w:val="en-GB"/>
        </w:rPr>
        <w:t xml:space="preserve">Some sympathetic cases decided in the </w:t>
      </w:r>
      <w:proofErr w:type="gramStart"/>
      <w:r w:rsidRPr="003E41E5">
        <w:rPr>
          <w:rFonts w:ascii="Arial" w:hAnsi="Arial" w:cs="Arial"/>
          <w:b/>
          <w:bCs/>
          <w:color w:val="000000" w:themeColor="text1"/>
          <w:sz w:val="22"/>
          <w:szCs w:val="22"/>
          <w:u w:val="single"/>
          <w:lang w:val="en-GB"/>
        </w:rPr>
        <w:t>courts :</w:t>
      </w:r>
      <w:proofErr w:type="gramEnd"/>
    </w:p>
    <w:p w14:paraId="26BB0D0E" w14:textId="77777777" w:rsidR="008F43AC" w:rsidRPr="003E41E5" w:rsidRDefault="008F43AC" w:rsidP="008F43AC">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t>1.</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Section 6 duty: challenging public authority actions violating the rights of a slavery and trafficking victim: OOO (and others) v Commissioner of Police for the Metropolis [2011] EWHC 1246</w:t>
      </w:r>
    </w:p>
    <w:p w14:paraId="70F0A780"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In a landmark judgment the High Court found that the Metropolitan Police Service had violated the human rights of four female victims of trafficking and child slavery by failing to investigate the alleged perpetrators. </w:t>
      </w:r>
    </w:p>
    <w:p w14:paraId="5B56DC66"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lastRenderedPageBreak/>
        <w:t>The victims were trafficked to the UK from Nigeria when they were 11 to 15 years old. They were forced to work as unpaid servants for families in London and subjected to serious physical and emotional abuse.</w:t>
      </w:r>
    </w:p>
    <w:p w14:paraId="2E521B7C"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The court found that the police had a duty to investigate credible allegations of ongoing or past slavery and that the failure to conduct an investigation was a breach of the claimants’ human rights to be free from torture, inhumane and degrading treatment (article 3 of the Convention) as well as a breach of their human rights to be free from slavery (article 4 of the Convention). </w:t>
      </w:r>
    </w:p>
    <w:p w14:paraId="1EF52324"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The police eventually agreed to undertake an investigation into the claimants' abuse in 2009. This led to the conviction of Lucy </w:t>
      </w:r>
      <w:proofErr w:type="spellStart"/>
      <w:r w:rsidRPr="003E41E5">
        <w:rPr>
          <w:rFonts w:ascii="Arial" w:hAnsi="Arial" w:cs="Arial"/>
          <w:color w:val="000000" w:themeColor="text1"/>
          <w:sz w:val="22"/>
          <w:szCs w:val="22"/>
          <w:lang w:val="en-GB"/>
        </w:rPr>
        <w:t>Adeniji</w:t>
      </w:r>
      <w:proofErr w:type="spellEnd"/>
      <w:r w:rsidRPr="003E41E5">
        <w:rPr>
          <w:rFonts w:ascii="Arial" w:hAnsi="Arial" w:cs="Arial"/>
          <w:color w:val="000000" w:themeColor="text1"/>
          <w:sz w:val="22"/>
          <w:szCs w:val="22"/>
          <w:lang w:val="en-GB"/>
        </w:rPr>
        <w:t xml:space="preserve"> in February 2011 on charges of trafficking and slavery, and she was sentenced to 11 and a half years imprisonment.</w:t>
      </w:r>
    </w:p>
    <w:p w14:paraId="3D51CD4E"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If the Human Rights Act was not in place, the victims would not have been able to bring a claim in this country that their human rights had been breached. Instead, they would have had to wait until they had exhausted any other domestic claims, and then brought a claim in the European Court of Human Rights. This would have not only have been at considerable expense and delay, but also have caused further stress and anxiety. In addition, it is also probable that the police investigation would never have occurred and the convictions secured if the claim under the HRA had not been brought.</w:t>
      </w:r>
    </w:p>
    <w:p w14:paraId="063E1024" w14:textId="77777777" w:rsidR="008F43AC" w:rsidRPr="003E41E5" w:rsidRDefault="008F43AC" w:rsidP="008F43AC">
      <w:pPr>
        <w:autoSpaceDE w:val="0"/>
        <w:autoSpaceDN w:val="0"/>
        <w:adjustRightInd w:val="0"/>
        <w:spacing w:after="24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The HRA was vital for the victims to secure access to justice in British courts and to secure the prosecution of the perpetrator of the crimes.</w:t>
      </w:r>
    </w:p>
    <w:p w14:paraId="4A05D34A" w14:textId="447EAD88" w:rsidR="008F43AC" w:rsidRPr="003E41E5" w:rsidRDefault="008F43AC" w:rsidP="003E41E5">
      <w:pPr>
        <w:autoSpaceDE w:val="0"/>
        <w:autoSpaceDN w:val="0"/>
        <w:adjustRightInd w:val="0"/>
        <w:spacing w:after="240"/>
        <w:ind w:left="720" w:hanging="360"/>
        <w:jc w:val="both"/>
        <w:rPr>
          <w:rFonts w:ascii="Arial" w:hAnsi="Arial" w:cs="Arial"/>
          <w:b/>
          <w:bCs/>
          <w:color w:val="000000" w:themeColor="text1"/>
          <w:sz w:val="22"/>
          <w:szCs w:val="22"/>
          <w:u w:val="single"/>
          <w:lang w:val="en-GB"/>
        </w:rPr>
      </w:pPr>
      <w:r w:rsidRPr="003E41E5">
        <w:rPr>
          <w:rFonts w:ascii="Arial" w:hAnsi="Arial" w:cs="Arial"/>
          <w:color w:val="000000" w:themeColor="text1"/>
          <w:sz w:val="22"/>
          <w:szCs w:val="22"/>
          <w:lang w:val="en-GB"/>
        </w:rPr>
        <w:t>2.</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u w:val="single"/>
          <w:lang w:val="en-GB"/>
        </w:rPr>
        <w:t>Interpreting legislation under s.3 HRA to help a same sex couple’ living arrangements match those of heterosexuals:</w:t>
      </w:r>
      <w:r w:rsidR="003E41E5">
        <w:rPr>
          <w:rFonts w:ascii="Arial" w:hAnsi="Arial" w:cs="Arial"/>
          <w:b/>
          <w:bCs/>
          <w:color w:val="000000" w:themeColor="text1"/>
          <w:sz w:val="22"/>
          <w:szCs w:val="22"/>
          <w:u w:val="single"/>
          <w:lang w:val="en-GB"/>
        </w:rPr>
        <w:t xml:space="preserve"> </w:t>
      </w:r>
      <w:proofErr w:type="spellStart"/>
      <w:r w:rsidR="003E41E5">
        <w:rPr>
          <w:rFonts w:ascii="Arial" w:hAnsi="Arial" w:cs="Arial"/>
          <w:b/>
          <w:bCs/>
          <w:color w:val="000000" w:themeColor="text1"/>
          <w:sz w:val="22"/>
          <w:szCs w:val="22"/>
          <w:u w:val="single"/>
          <w:lang w:val="en-GB"/>
        </w:rPr>
        <w:t>Ghaidan</w:t>
      </w:r>
      <w:proofErr w:type="spellEnd"/>
      <w:r w:rsidR="003E41E5">
        <w:rPr>
          <w:rFonts w:ascii="Arial" w:hAnsi="Arial" w:cs="Arial"/>
          <w:b/>
          <w:bCs/>
          <w:color w:val="000000" w:themeColor="text1"/>
          <w:sz w:val="22"/>
          <w:szCs w:val="22"/>
          <w:u w:val="single"/>
          <w:lang w:val="en-GB"/>
        </w:rPr>
        <w:t xml:space="preserve"> v Godin-Mendoza [2004]</w:t>
      </w:r>
    </w:p>
    <w:p w14:paraId="5B0D8C45" w14:textId="7C6A79D7" w:rsidR="008F43AC" w:rsidRPr="003E41E5" w:rsidRDefault="008F43AC" w:rsidP="003E41E5">
      <w:pPr>
        <w:autoSpaceDE w:val="0"/>
        <w:autoSpaceDN w:val="0"/>
        <w:adjustRightInd w:val="0"/>
        <w:spacing w:after="240"/>
        <w:ind w:left="7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This was not a case challenging public authority violation, but one which asked the domestic court to interpret a statute compatibly with the HRA or declare it in</w:t>
      </w:r>
      <w:r w:rsidR="003E41E5">
        <w:rPr>
          <w:rFonts w:ascii="Arial" w:hAnsi="Arial" w:cs="Arial"/>
          <w:color w:val="000000" w:themeColor="text1"/>
          <w:sz w:val="22"/>
          <w:szCs w:val="22"/>
          <w:lang w:val="en-GB"/>
        </w:rPr>
        <w:t>compatible under s.4</w:t>
      </w:r>
    </w:p>
    <w:p w14:paraId="59DCC25C" w14:textId="2447D379" w:rsidR="008F43AC" w:rsidRPr="003E41E5" w:rsidRDefault="008F43AC" w:rsidP="003E41E5">
      <w:pPr>
        <w:autoSpaceDE w:val="0"/>
        <w:autoSpaceDN w:val="0"/>
        <w:adjustRightInd w:val="0"/>
        <w:spacing w:after="240"/>
        <w:ind w:left="7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Mr </w:t>
      </w:r>
      <w:proofErr w:type="spellStart"/>
      <w:r w:rsidRPr="003E41E5">
        <w:rPr>
          <w:rFonts w:ascii="Arial" w:hAnsi="Arial" w:cs="Arial"/>
          <w:color w:val="000000" w:themeColor="text1"/>
          <w:sz w:val="22"/>
          <w:szCs w:val="22"/>
          <w:lang w:val="en-GB"/>
        </w:rPr>
        <w:t>Wallwyn</w:t>
      </w:r>
      <w:proofErr w:type="spellEnd"/>
      <w:r w:rsidRPr="003E41E5">
        <w:rPr>
          <w:rFonts w:ascii="Arial" w:hAnsi="Arial" w:cs="Arial"/>
          <w:color w:val="000000" w:themeColor="text1"/>
          <w:sz w:val="22"/>
          <w:szCs w:val="22"/>
          <w:lang w:val="en-GB"/>
        </w:rPr>
        <w:t xml:space="preserve">-James was living in a flat in London as a tenant from 1983 until he died in 2001. He was living with Mr Godin-Mendoza at the flat in a long term same-sex couple relationship at the time of Mr </w:t>
      </w:r>
      <w:proofErr w:type="spellStart"/>
      <w:r w:rsidRPr="003E41E5">
        <w:rPr>
          <w:rFonts w:ascii="Arial" w:hAnsi="Arial" w:cs="Arial"/>
          <w:color w:val="000000" w:themeColor="text1"/>
          <w:sz w:val="22"/>
          <w:szCs w:val="22"/>
          <w:lang w:val="en-GB"/>
        </w:rPr>
        <w:t>Wallwyn</w:t>
      </w:r>
      <w:proofErr w:type="spellEnd"/>
      <w:r w:rsidRPr="003E41E5">
        <w:rPr>
          <w:rFonts w:ascii="Arial" w:hAnsi="Arial" w:cs="Arial"/>
          <w:color w:val="000000" w:themeColor="text1"/>
          <w:sz w:val="22"/>
          <w:szCs w:val="22"/>
          <w:lang w:val="en-GB"/>
        </w:rPr>
        <w:t xml:space="preserve">-James death. The claimant Mr </w:t>
      </w:r>
      <w:proofErr w:type="spellStart"/>
      <w:r w:rsidRPr="003E41E5">
        <w:rPr>
          <w:rFonts w:ascii="Arial" w:hAnsi="Arial" w:cs="Arial"/>
          <w:color w:val="000000" w:themeColor="text1"/>
          <w:sz w:val="22"/>
          <w:szCs w:val="22"/>
          <w:lang w:val="en-GB"/>
        </w:rPr>
        <w:t>Ghaidan</w:t>
      </w:r>
      <w:proofErr w:type="spellEnd"/>
      <w:r w:rsidRPr="003E41E5">
        <w:rPr>
          <w:rFonts w:ascii="Arial" w:hAnsi="Arial" w:cs="Arial"/>
          <w:color w:val="000000" w:themeColor="text1"/>
          <w:sz w:val="22"/>
          <w:szCs w:val="22"/>
          <w:lang w:val="en-GB"/>
        </w:rPr>
        <w:t>, who owned the flat, applied to a court for the possession of the fl</w:t>
      </w:r>
      <w:r w:rsidR="003E41E5">
        <w:rPr>
          <w:rFonts w:ascii="Arial" w:hAnsi="Arial" w:cs="Arial"/>
          <w:color w:val="000000" w:themeColor="text1"/>
          <w:sz w:val="22"/>
          <w:szCs w:val="22"/>
          <w:lang w:val="en-GB"/>
        </w:rPr>
        <w:t xml:space="preserve">at after Mr </w:t>
      </w:r>
      <w:proofErr w:type="spellStart"/>
      <w:r w:rsidR="003E41E5">
        <w:rPr>
          <w:rFonts w:ascii="Arial" w:hAnsi="Arial" w:cs="Arial"/>
          <w:color w:val="000000" w:themeColor="text1"/>
          <w:sz w:val="22"/>
          <w:szCs w:val="22"/>
          <w:lang w:val="en-GB"/>
        </w:rPr>
        <w:t>Wallwyn</w:t>
      </w:r>
      <w:proofErr w:type="spellEnd"/>
      <w:r w:rsidR="003E41E5">
        <w:rPr>
          <w:rFonts w:ascii="Arial" w:hAnsi="Arial" w:cs="Arial"/>
          <w:color w:val="000000" w:themeColor="text1"/>
          <w:sz w:val="22"/>
          <w:szCs w:val="22"/>
          <w:lang w:val="en-GB"/>
        </w:rPr>
        <w:t>-James died.</w:t>
      </w:r>
    </w:p>
    <w:p w14:paraId="322506C0" w14:textId="0BFF27AF" w:rsidR="008F43AC" w:rsidRPr="003E41E5" w:rsidRDefault="008F43AC" w:rsidP="003E41E5">
      <w:pPr>
        <w:autoSpaceDE w:val="0"/>
        <w:autoSpaceDN w:val="0"/>
        <w:adjustRightInd w:val="0"/>
        <w:spacing w:after="240"/>
        <w:ind w:left="7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The key issue in the case was whether Mr Godin-Mendoza's human rights to family life (article 8) and non-discrimination in the enjoyment of that right (article 14) would be breached if he was not entitled to a ‘statutor</w:t>
      </w:r>
      <w:r w:rsidR="003E41E5">
        <w:rPr>
          <w:rFonts w:ascii="Arial" w:hAnsi="Arial" w:cs="Arial"/>
          <w:color w:val="000000" w:themeColor="text1"/>
          <w:sz w:val="22"/>
          <w:szCs w:val="22"/>
          <w:lang w:val="en-GB"/>
        </w:rPr>
        <w:t>y’ tenancy to live in the flat.</w:t>
      </w:r>
    </w:p>
    <w:p w14:paraId="5481755B" w14:textId="12E0DAD4" w:rsidR="008F43AC" w:rsidRPr="003E41E5" w:rsidRDefault="008F43AC" w:rsidP="003E41E5">
      <w:pPr>
        <w:autoSpaceDE w:val="0"/>
        <w:autoSpaceDN w:val="0"/>
        <w:adjustRightInd w:val="0"/>
        <w:spacing w:after="240"/>
        <w:ind w:left="7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There are a number of benefits of a statutory tenancy as opposed to an ‘assured’ tenancy. the rent payable under an assured tenancy is the contractual or market rent, which may be more than the fair rent payable under a statutory tenancy, and an assured tenant may be evicted for non-payment of rent without the court needing to be satisfied, as is essential in the case of a statutory tenancy, that it is reasonab</w:t>
      </w:r>
      <w:r w:rsidR="003E41E5">
        <w:rPr>
          <w:rFonts w:ascii="Arial" w:hAnsi="Arial" w:cs="Arial"/>
          <w:color w:val="000000" w:themeColor="text1"/>
          <w:sz w:val="22"/>
          <w:szCs w:val="22"/>
          <w:lang w:val="en-GB"/>
        </w:rPr>
        <w:t xml:space="preserve">le to make a possession order. </w:t>
      </w:r>
    </w:p>
    <w:p w14:paraId="058003BF" w14:textId="77777777" w:rsidR="008F43AC" w:rsidRDefault="008F43AC" w:rsidP="008F43AC">
      <w:pPr>
        <w:autoSpaceDE w:val="0"/>
        <w:autoSpaceDN w:val="0"/>
        <w:adjustRightInd w:val="0"/>
        <w:spacing w:after="240"/>
        <w:ind w:left="7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 xml:space="preserve">The Rent Act 1977 provided only that a </w:t>
      </w:r>
      <w:r w:rsidRPr="003E41E5">
        <w:rPr>
          <w:rFonts w:ascii="Arial" w:hAnsi="Arial" w:cs="Arial"/>
          <w:i/>
          <w:iCs/>
          <w:color w:val="000000" w:themeColor="text1"/>
          <w:sz w:val="22"/>
          <w:szCs w:val="22"/>
          <w:lang w:val="en-GB"/>
        </w:rPr>
        <w:t>‘person who was living with the original tenant as his or her husband or wife’ would be eligible to succeed to the tenancy</w:t>
      </w:r>
      <w:r w:rsidRPr="003E41E5">
        <w:rPr>
          <w:rFonts w:ascii="Arial" w:hAnsi="Arial" w:cs="Arial"/>
          <w:color w:val="000000" w:themeColor="text1"/>
          <w:sz w:val="22"/>
          <w:szCs w:val="22"/>
          <w:lang w:val="en-GB"/>
        </w:rPr>
        <w:t xml:space="preserve">.  The House of Lords </w:t>
      </w:r>
      <w:r w:rsidRPr="003E41E5">
        <w:rPr>
          <w:rFonts w:ascii="Arial" w:hAnsi="Arial" w:cs="Arial"/>
          <w:color w:val="000000" w:themeColor="text1"/>
          <w:sz w:val="22"/>
          <w:szCs w:val="22"/>
          <w:u w:val="single"/>
          <w:lang w:val="en-GB"/>
        </w:rPr>
        <w:t>used section 3 of the HRA to interpret the provision ‘</w:t>
      </w:r>
      <w:r w:rsidRPr="003E41E5">
        <w:rPr>
          <w:rFonts w:ascii="Arial" w:hAnsi="Arial" w:cs="Arial"/>
          <w:i/>
          <w:iCs/>
          <w:color w:val="000000" w:themeColor="text1"/>
          <w:sz w:val="22"/>
          <w:szCs w:val="22"/>
          <w:u w:val="single"/>
          <w:lang w:val="en-GB"/>
        </w:rPr>
        <w:t>as his or her wife or husband</w:t>
      </w:r>
      <w:r w:rsidRPr="003E41E5">
        <w:rPr>
          <w:rFonts w:ascii="Arial" w:hAnsi="Arial" w:cs="Arial"/>
          <w:color w:val="000000" w:themeColor="text1"/>
          <w:sz w:val="22"/>
          <w:szCs w:val="22"/>
          <w:u w:val="single"/>
          <w:lang w:val="en-GB"/>
        </w:rPr>
        <w:t>’ in the Rent Act to mean ‘</w:t>
      </w:r>
      <w:r w:rsidRPr="003E41E5">
        <w:rPr>
          <w:rFonts w:ascii="Arial" w:hAnsi="Arial" w:cs="Arial"/>
          <w:i/>
          <w:iCs/>
          <w:color w:val="000000" w:themeColor="text1"/>
          <w:sz w:val="22"/>
          <w:szCs w:val="22"/>
          <w:u w:val="single"/>
          <w:lang w:val="en-GB"/>
        </w:rPr>
        <w:t>as if they were his wife or husband’</w:t>
      </w:r>
      <w:r w:rsidRPr="003E41E5">
        <w:rPr>
          <w:rFonts w:ascii="Arial" w:hAnsi="Arial" w:cs="Arial"/>
          <w:color w:val="000000" w:themeColor="text1"/>
          <w:sz w:val="22"/>
          <w:szCs w:val="22"/>
          <w:u w:val="single"/>
          <w:lang w:val="en-GB"/>
        </w:rPr>
        <w:t>.</w:t>
      </w:r>
      <w:r w:rsidRPr="003E41E5">
        <w:rPr>
          <w:rFonts w:ascii="Arial" w:hAnsi="Arial" w:cs="Arial"/>
          <w:color w:val="000000" w:themeColor="text1"/>
          <w:sz w:val="22"/>
          <w:szCs w:val="22"/>
          <w:lang w:val="en-GB"/>
        </w:rPr>
        <w:t xml:space="preserve"> As a result the court </w:t>
      </w:r>
      <w:r w:rsidRPr="003E41E5">
        <w:rPr>
          <w:rFonts w:ascii="Arial" w:hAnsi="Arial" w:cs="Arial"/>
          <w:color w:val="000000" w:themeColor="text1"/>
          <w:sz w:val="22"/>
          <w:szCs w:val="22"/>
          <w:u w:val="single"/>
          <w:lang w:val="en-GB"/>
        </w:rPr>
        <w:t>decided Mr Godin-Mendoza should have the right to a statutory tenancy in the same way as the survivor of a married couple</w:t>
      </w:r>
      <w:r w:rsidRPr="003E41E5">
        <w:rPr>
          <w:rFonts w:ascii="Arial" w:hAnsi="Arial" w:cs="Arial"/>
          <w:color w:val="000000" w:themeColor="text1"/>
          <w:sz w:val="22"/>
          <w:szCs w:val="22"/>
          <w:lang w:val="en-GB"/>
        </w:rPr>
        <w:t>. This also avoids the court having to make any declaration of incompatibility under section 4 of the HRA which should only be used by the courts as a last resort.</w:t>
      </w:r>
    </w:p>
    <w:p w14:paraId="248A1430" w14:textId="77777777" w:rsidR="00413D16" w:rsidRPr="003E41E5" w:rsidRDefault="00413D16" w:rsidP="008F43AC">
      <w:pPr>
        <w:autoSpaceDE w:val="0"/>
        <w:autoSpaceDN w:val="0"/>
        <w:adjustRightInd w:val="0"/>
        <w:spacing w:after="240"/>
        <w:ind w:left="720"/>
        <w:jc w:val="both"/>
        <w:rPr>
          <w:rFonts w:ascii="Arial" w:hAnsi="Arial" w:cs="Arial"/>
          <w:color w:val="000000" w:themeColor="text1"/>
          <w:sz w:val="22"/>
          <w:szCs w:val="22"/>
          <w:lang w:val="en-GB"/>
        </w:rPr>
      </w:pPr>
    </w:p>
    <w:p w14:paraId="1B1C6824" w14:textId="77777777" w:rsidR="008F43AC" w:rsidRPr="003E41E5" w:rsidRDefault="008F43AC" w:rsidP="008F43AC">
      <w:pPr>
        <w:autoSpaceDE w:val="0"/>
        <w:autoSpaceDN w:val="0"/>
        <w:adjustRightInd w:val="0"/>
        <w:spacing w:after="240"/>
        <w:ind w:left="720"/>
        <w:jc w:val="both"/>
        <w:rPr>
          <w:rFonts w:ascii="Arial" w:hAnsi="Arial" w:cs="Arial"/>
          <w:color w:val="000000" w:themeColor="text1"/>
          <w:sz w:val="22"/>
          <w:szCs w:val="22"/>
          <w:lang w:val="en-GB"/>
        </w:rPr>
      </w:pPr>
    </w:p>
    <w:p w14:paraId="7DDB50E8" w14:textId="57CC9852" w:rsidR="008F43AC" w:rsidRPr="003E41E5" w:rsidRDefault="008F43AC" w:rsidP="003E41E5">
      <w:pPr>
        <w:autoSpaceDE w:val="0"/>
        <w:autoSpaceDN w:val="0"/>
        <w:adjustRightInd w:val="0"/>
        <w:spacing w:after="240"/>
        <w:ind w:left="720" w:hanging="360"/>
        <w:jc w:val="both"/>
        <w:rPr>
          <w:rFonts w:ascii="Arial" w:hAnsi="Arial" w:cs="Arial"/>
          <w:b/>
          <w:bCs/>
          <w:color w:val="000000" w:themeColor="text1"/>
          <w:sz w:val="22"/>
          <w:szCs w:val="22"/>
          <w:lang w:val="en-GB"/>
        </w:rPr>
      </w:pPr>
      <w:r w:rsidRPr="003E41E5">
        <w:rPr>
          <w:rFonts w:ascii="Arial" w:hAnsi="Arial" w:cs="Arial"/>
          <w:color w:val="000000" w:themeColor="text1"/>
          <w:sz w:val="22"/>
          <w:szCs w:val="22"/>
          <w:lang w:val="en-GB"/>
        </w:rPr>
        <w:lastRenderedPageBreak/>
        <w:t>3.</w:t>
      </w:r>
      <w:r w:rsidRPr="003E41E5">
        <w:rPr>
          <w:rFonts w:ascii="Arial" w:hAnsi="Arial" w:cs="Arial"/>
          <w:color w:val="000000" w:themeColor="text1"/>
          <w:sz w:val="22"/>
          <w:szCs w:val="22"/>
          <w:lang w:val="en-GB"/>
        </w:rPr>
        <w:tab/>
      </w:r>
      <w:r w:rsidRPr="003E41E5">
        <w:rPr>
          <w:rFonts w:ascii="Arial" w:hAnsi="Arial" w:cs="Arial"/>
          <w:b/>
          <w:bCs/>
          <w:color w:val="000000" w:themeColor="text1"/>
          <w:sz w:val="22"/>
          <w:szCs w:val="22"/>
          <w:lang w:val="en-GB"/>
        </w:rPr>
        <w:t>Section 4 declarations: example of how they work: care workers who could not challenge a ‘provisional’ classification that they were unsuitable to work with vulnerable adults: Wright v secre</w:t>
      </w:r>
      <w:r w:rsidR="003E41E5">
        <w:rPr>
          <w:rFonts w:ascii="Arial" w:hAnsi="Arial" w:cs="Arial"/>
          <w:b/>
          <w:bCs/>
          <w:color w:val="000000" w:themeColor="text1"/>
          <w:sz w:val="22"/>
          <w:szCs w:val="22"/>
          <w:lang w:val="en-GB"/>
        </w:rPr>
        <w:t>tary of state for health (2009)</w:t>
      </w:r>
    </w:p>
    <w:p w14:paraId="61BBC040" w14:textId="77777777" w:rsidR="008F43AC" w:rsidRPr="003E41E5" w:rsidRDefault="008F43AC" w:rsidP="008F43AC">
      <w:pPr>
        <w:autoSpaceDE w:val="0"/>
        <w:autoSpaceDN w:val="0"/>
        <w:adjustRightInd w:val="0"/>
        <w:spacing w:after="240"/>
        <w:ind w:left="720"/>
        <w:jc w:val="both"/>
        <w:rPr>
          <w:rFonts w:ascii="Arial" w:hAnsi="Arial" w:cs="Arial"/>
          <w:color w:val="000000" w:themeColor="text1"/>
          <w:sz w:val="22"/>
          <w:szCs w:val="22"/>
          <w:lang w:val="en-GB"/>
        </w:rPr>
      </w:pPr>
      <w:r w:rsidRPr="003E41E5">
        <w:rPr>
          <w:rFonts w:ascii="Arial" w:hAnsi="Arial" w:cs="Arial"/>
          <w:color w:val="000000" w:themeColor="text1"/>
          <w:sz w:val="22"/>
          <w:szCs w:val="22"/>
          <w:lang w:val="en-GB"/>
        </w:rPr>
        <w:t>The care standards act 2000 was supposed to stop those who had harmed vulnerable adults working with them again. It said care workers could be put on the list provisionally pending investigation. This often took months. In this case, 3 of 4 workers kept on list for 9 months were then removed from it. They had had no opportunity to defend the allegations in the meantime. This was found to be a breach of article 6 9fair trial) and the House of Lords declared the bit of the Act setting out this procedure to be incompatible with that right. It was thus left to parliament to decide what to do.</w:t>
      </w:r>
    </w:p>
    <w:p w14:paraId="76372681" w14:textId="63F13DA5" w:rsidR="00BE1F18" w:rsidRPr="003E41E5" w:rsidRDefault="008F43AC" w:rsidP="00BE1F18">
      <w:pPr>
        <w:pStyle w:val="campaignbodytext"/>
        <w:rPr>
          <w:rFonts w:cs="Arial"/>
          <w:color w:val="000000" w:themeColor="text1"/>
          <w:sz w:val="22"/>
          <w:szCs w:val="22"/>
        </w:rPr>
      </w:pPr>
      <w:r w:rsidRPr="003E41E5">
        <w:rPr>
          <w:rFonts w:cs="Arial"/>
          <w:color w:val="000000" w:themeColor="text1"/>
          <w:sz w:val="22"/>
          <w:szCs w:val="22"/>
          <w:lang w:val="en-GB"/>
        </w:rPr>
        <w:t>The government responded to the declaration by replacing it with a new Act setting up a better system where people are only listed after being able to put their defence forward and the investigation being completed.</w:t>
      </w:r>
    </w:p>
    <w:p w14:paraId="3CCD1641" w14:textId="77777777" w:rsidR="00BE1F18" w:rsidRPr="003E41E5" w:rsidRDefault="00BE1F18" w:rsidP="00BE1F18">
      <w:pPr>
        <w:pStyle w:val="campaignbodytext"/>
        <w:rPr>
          <w:rFonts w:cs="Arial"/>
          <w:color w:val="000000" w:themeColor="text1"/>
          <w:sz w:val="22"/>
          <w:szCs w:val="22"/>
        </w:rPr>
      </w:pPr>
    </w:p>
    <w:p w14:paraId="22DB8AF7" w14:textId="77777777" w:rsidR="00BE1F18" w:rsidRPr="003E41E5" w:rsidRDefault="00BE1F18" w:rsidP="00BE1F18">
      <w:pPr>
        <w:pStyle w:val="campaignbodytext"/>
        <w:rPr>
          <w:rFonts w:cs="Arial"/>
          <w:color w:val="000000" w:themeColor="text1"/>
          <w:sz w:val="22"/>
          <w:szCs w:val="22"/>
        </w:rPr>
      </w:pPr>
    </w:p>
    <w:p w14:paraId="5B6EE6EB" w14:textId="77777777" w:rsidR="00BE1F18" w:rsidRPr="003E41E5" w:rsidRDefault="00BE1F18" w:rsidP="00BE1F18">
      <w:pPr>
        <w:pStyle w:val="campaignbodytext"/>
        <w:rPr>
          <w:rFonts w:cs="Arial"/>
          <w:color w:val="000000" w:themeColor="text1"/>
          <w:sz w:val="22"/>
          <w:szCs w:val="22"/>
        </w:rPr>
      </w:pPr>
    </w:p>
    <w:p w14:paraId="489DA042" w14:textId="77777777" w:rsidR="00BE1F18" w:rsidRPr="003E41E5" w:rsidRDefault="00BE1F18" w:rsidP="00BE1F18">
      <w:pPr>
        <w:pStyle w:val="campaignbodytext"/>
        <w:rPr>
          <w:rFonts w:cs="Arial"/>
          <w:color w:val="000000" w:themeColor="text1"/>
          <w:sz w:val="22"/>
          <w:szCs w:val="22"/>
        </w:rPr>
      </w:pPr>
    </w:p>
    <w:p w14:paraId="6219EA7A" w14:textId="77777777" w:rsidR="00BE1F18" w:rsidRPr="003E41E5" w:rsidRDefault="00BE1F18" w:rsidP="00BE1F18">
      <w:pPr>
        <w:pStyle w:val="campaignbodytext"/>
        <w:rPr>
          <w:rFonts w:cs="Arial"/>
          <w:color w:val="000000" w:themeColor="text1"/>
          <w:sz w:val="22"/>
          <w:szCs w:val="22"/>
        </w:rPr>
      </w:pPr>
    </w:p>
    <w:p w14:paraId="174536BF" w14:textId="77777777" w:rsidR="007174C1" w:rsidRPr="008F43AC" w:rsidRDefault="007174C1" w:rsidP="00BE1F18">
      <w:pPr>
        <w:pStyle w:val="campaignbodytext"/>
        <w:rPr>
          <w:rFonts w:cs="Arial"/>
          <w:color w:val="000000" w:themeColor="text1"/>
          <w:szCs w:val="20"/>
        </w:rPr>
      </w:pPr>
    </w:p>
    <w:sectPr w:rsidR="007174C1" w:rsidRPr="008F43AC" w:rsidSect="008F43AC">
      <w:type w:val="continuous"/>
      <w:pgSz w:w="11900" w:h="16840"/>
      <w:pgMar w:top="1843" w:right="843" w:bottom="1440" w:left="851" w:header="708" w:footer="708"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8B813" w14:textId="77777777" w:rsidR="00780CE7" w:rsidRDefault="00050371">
      <w:r>
        <w:separator/>
      </w:r>
    </w:p>
  </w:endnote>
  <w:endnote w:type="continuationSeparator" w:id="0">
    <w:p w14:paraId="4A6B240C" w14:textId="77777777" w:rsidR="00780CE7" w:rsidRDefault="0005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1305" w14:textId="77777777" w:rsidR="00293B02" w:rsidRDefault="00050371">
    <w:pPr>
      <w:pStyle w:val="Footer"/>
    </w:pPr>
    <w:r>
      <w:rPr>
        <w:noProof/>
        <w:lang w:val="en-GB" w:eastAsia="en-GB"/>
      </w:rPr>
      <w:drawing>
        <wp:anchor distT="0" distB="0" distL="114300" distR="114300" simplePos="0" relativeHeight="251663360" behindDoc="1" locked="0" layoutInCell="1" allowOverlap="1" wp14:anchorId="5B69B848" wp14:editId="72D50F65">
          <wp:simplePos x="0" y="0"/>
          <wp:positionH relativeFrom="page">
            <wp:posOffset>0</wp:posOffset>
          </wp:positionH>
          <wp:positionV relativeFrom="page">
            <wp:posOffset>9719945</wp:posOffset>
          </wp:positionV>
          <wp:extent cx="7559040" cy="10692130"/>
          <wp:effectExtent l="0" t="0" r="0" b="0"/>
          <wp:wrapNone/>
          <wp:docPr id="4" name="Picture 4"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913" b="-90913"/>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3F6AE" w14:textId="77777777" w:rsidR="00780CE7" w:rsidRDefault="00050371">
      <w:r>
        <w:separator/>
      </w:r>
    </w:p>
  </w:footnote>
  <w:footnote w:type="continuationSeparator" w:id="0">
    <w:p w14:paraId="505C068E" w14:textId="77777777" w:rsidR="00780CE7" w:rsidRDefault="0005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4A86" w14:textId="737EAD4B" w:rsidR="00293B02" w:rsidRPr="00B324F1" w:rsidRDefault="008F43AC" w:rsidP="00B324F1">
    <w:pPr>
      <w:pStyle w:val="campaignheaderandfooter"/>
    </w:pPr>
    <w:r>
      <w:t>Human rights act:</w:t>
    </w:r>
    <w:r w:rsidR="00293B02" w:rsidRPr="00B324F1">
      <w:t xml:space="preserve"> </w:t>
    </w:r>
    <w:r>
      <w:rPr>
        <w:rFonts w:ascii="Arial" w:hAnsi="Arial"/>
      </w:rPr>
      <w:t>making your case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5FAA" w14:textId="77777777" w:rsidR="00293B02" w:rsidRDefault="00050371">
    <w:pPr>
      <w:pStyle w:val="Header"/>
    </w:pPr>
    <w:r>
      <w:rPr>
        <w:noProof/>
        <w:lang w:val="en-GB" w:eastAsia="en-GB"/>
      </w:rPr>
      <w:drawing>
        <wp:anchor distT="0" distB="0" distL="114300" distR="114300" simplePos="0" relativeHeight="251661312" behindDoc="1" locked="0" layoutInCell="1" allowOverlap="1" wp14:anchorId="136C8DED" wp14:editId="468D881A">
          <wp:simplePos x="0" y="0"/>
          <wp:positionH relativeFrom="page">
            <wp:posOffset>1270</wp:posOffset>
          </wp:positionH>
          <wp:positionV relativeFrom="page">
            <wp:posOffset>0</wp:posOffset>
          </wp:positionV>
          <wp:extent cx="7559040" cy="10692384"/>
          <wp:effectExtent l="0" t="0" r="0" b="0"/>
          <wp:wrapNone/>
          <wp:docPr id="3" name="Picture 3"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899"/>
    <w:multiLevelType w:val="hybridMultilevel"/>
    <w:tmpl w:val="90905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4B2058"/>
    <w:multiLevelType w:val="hybridMultilevel"/>
    <w:tmpl w:val="48183688"/>
    <w:lvl w:ilvl="0" w:tplc="89C61838">
      <w:start w:val="1"/>
      <w:numFmt w:val="bullet"/>
      <w:pStyle w:val="campaignbodytextbulletpointssecondary"/>
      <w:lvlText w:val="o"/>
      <w:lvlJc w:val="left"/>
      <w:pPr>
        <w:ind w:left="737" w:hanging="227"/>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D3D45"/>
    <w:multiLevelType w:val="hybridMultilevel"/>
    <w:tmpl w:val="E11210CE"/>
    <w:lvl w:ilvl="0" w:tplc="07F6B920">
      <w:start w:val="1"/>
      <w:numFmt w:val="bullet"/>
      <w:pStyle w:val="cam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3">
      <o:colormenu v:ext="edit" shadow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D"/>
    <w:rsid w:val="0002577E"/>
    <w:rsid w:val="00050371"/>
    <w:rsid w:val="000925C8"/>
    <w:rsid w:val="000F66E2"/>
    <w:rsid w:val="001008DC"/>
    <w:rsid w:val="00245E8A"/>
    <w:rsid w:val="0025666D"/>
    <w:rsid w:val="00293B02"/>
    <w:rsid w:val="0033317F"/>
    <w:rsid w:val="003B581D"/>
    <w:rsid w:val="003E41E5"/>
    <w:rsid w:val="003F577F"/>
    <w:rsid w:val="00413D16"/>
    <w:rsid w:val="00421F1B"/>
    <w:rsid w:val="00511488"/>
    <w:rsid w:val="005132A9"/>
    <w:rsid w:val="00513D33"/>
    <w:rsid w:val="006542EA"/>
    <w:rsid w:val="007174C1"/>
    <w:rsid w:val="00774010"/>
    <w:rsid w:val="00780CE7"/>
    <w:rsid w:val="008C5180"/>
    <w:rsid w:val="008F43AC"/>
    <w:rsid w:val="008F4A45"/>
    <w:rsid w:val="00946144"/>
    <w:rsid w:val="009640AF"/>
    <w:rsid w:val="009C1198"/>
    <w:rsid w:val="00A0570B"/>
    <w:rsid w:val="00A83DC2"/>
    <w:rsid w:val="00A8758E"/>
    <w:rsid w:val="00AB5D6F"/>
    <w:rsid w:val="00AE3EB5"/>
    <w:rsid w:val="00AF1443"/>
    <w:rsid w:val="00B324F1"/>
    <w:rsid w:val="00B64BE0"/>
    <w:rsid w:val="00B81C9E"/>
    <w:rsid w:val="00B92E3A"/>
    <w:rsid w:val="00B93829"/>
    <w:rsid w:val="00BC4EFA"/>
    <w:rsid w:val="00BE1F18"/>
    <w:rsid w:val="00BE3B8D"/>
    <w:rsid w:val="00CF1961"/>
    <w:rsid w:val="00D34DEE"/>
    <w:rsid w:val="00DE0CB1"/>
    <w:rsid w:val="00E172D6"/>
    <w:rsid w:val="00E477D5"/>
    <w:rsid w:val="00E670D0"/>
    <w:rsid w:val="00EC7AA4"/>
    <w:rsid w:val="00ED4E8B"/>
    <w:rsid w:val="00F502A7"/>
    <w:rsid w:val="00F60F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colormenu v:ext="edit" shadowcolor="none [2092]"/>
    </o:shapedefaults>
    <o:shapelayout v:ext="edit">
      <o:idmap v:ext="edit" data="2"/>
    </o:shapelayout>
  </w:shapeDefaults>
  <w:doNotEmbedSmartTags/>
  <w:decimalSymbol w:val="."/>
  <w:listSeparator w:val=","/>
  <w14:docId w14:val="39D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unhideWhenUsed/>
    <w:rsid w:val="0002577E"/>
    <w:pPr>
      <w:tabs>
        <w:tab w:val="center" w:pos="4320"/>
        <w:tab w:val="right" w:pos="8640"/>
      </w:tabs>
    </w:pPr>
  </w:style>
  <w:style w:type="character" w:customStyle="1" w:styleId="HeaderChar">
    <w:name w:val="Header Char"/>
    <w:basedOn w:val="DefaultParagraphFont"/>
    <w:link w:val="Header"/>
    <w:uiPriority w:val="99"/>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BE1F18"/>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BE1F18"/>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946144"/>
    <w:rPr>
      <w:rFonts w:ascii="Arial" w:hAnsi="Arial"/>
      <w:b/>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8F4A4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A0570B"/>
    <w:pPr>
      <w:numPr>
        <w:numId w:val="2"/>
      </w:numPr>
    </w:pPr>
  </w:style>
  <w:style w:type="paragraph" w:styleId="ListParagraph">
    <w:name w:val="List Paragraph"/>
    <w:basedOn w:val="Normal"/>
    <w:rsid w:val="003E4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unhideWhenUsed/>
    <w:rsid w:val="0002577E"/>
    <w:pPr>
      <w:tabs>
        <w:tab w:val="center" w:pos="4320"/>
        <w:tab w:val="right" w:pos="8640"/>
      </w:tabs>
    </w:pPr>
  </w:style>
  <w:style w:type="character" w:customStyle="1" w:styleId="HeaderChar">
    <w:name w:val="Header Char"/>
    <w:basedOn w:val="DefaultParagraphFont"/>
    <w:link w:val="Header"/>
    <w:uiPriority w:val="99"/>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BE1F18"/>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BE1F18"/>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946144"/>
    <w:rPr>
      <w:rFonts w:ascii="Arial" w:hAnsi="Arial"/>
      <w:b/>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8F4A4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A0570B"/>
    <w:pPr>
      <w:numPr>
        <w:numId w:val="2"/>
      </w:numPr>
    </w:pPr>
  </w:style>
  <w:style w:type="paragraph" w:styleId="ListParagraph">
    <w:name w:val="List Paragraph"/>
    <w:basedOn w:val="Normal"/>
    <w:rsid w:val="003E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urhumanrightsstories.org.uk/organisation/pohw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urhumanrightsstories.org.uk/organisation/counsel-and-c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urhumanrightsstories.org.uk/organisation/pohw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Shoomi Chowdhury</cp:lastModifiedBy>
  <cp:revision>4</cp:revision>
  <dcterms:created xsi:type="dcterms:W3CDTF">2015-05-14T14:37:00Z</dcterms:created>
  <dcterms:modified xsi:type="dcterms:W3CDTF">2015-05-14T14:48:00Z</dcterms:modified>
</cp:coreProperties>
</file>