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36C10" w14:textId="7D65F931" w:rsidR="0002432F" w:rsidRDefault="00454F11" w:rsidP="0002432F">
      <w:pPr>
        <w:spacing w:before="120" w:after="120"/>
        <w:ind w:right="-46"/>
        <w:jc w:val="center"/>
        <w:rPr>
          <w:b/>
          <w:sz w:val="32"/>
        </w:rPr>
      </w:pPr>
      <w:r w:rsidRPr="0002432F">
        <w:rPr>
          <w:b/>
          <w:sz w:val="32"/>
        </w:rPr>
        <w:t>AMNESTY INTERNATIONAL UK SECTION</w:t>
      </w:r>
    </w:p>
    <w:p w14:paraId="4C15C835" w14:textId="4DB3AB1E" w:rsidR="007A2D8F" w:rsidRDefault="007A2D8F" w:rsidP="0002432F">
      <w:pPr>
        <w:spacing w:before="120" w:after="120"/>
        <w:ind w:right="-46"/>
        <w:jc w:val="center"/>
        <w:rPr>
          <w:b/>
          <w:sz w:val="32"/>
        </w:rPr>
      </w:pPr>
    </w:p>
    <w:p w14:paraId="00B88B00" w14:textId="1C26A8E4" w:rsidR="007A2D8F" w:rsidRDefault="007A2D8F" w:rsidP="0002432F">
      <w:pPr>
        <w:spacing w:before="120" w:after="120"/>
        <w:ind w:right="-46"/>
        <w:jc w:val="center"/>
        <w:rPr>
          <w:b/>
          <w:sz w:val="32"/>
        </w:rPr>
      </w:pPr>
    </w:p>
    <w:p w14:paraId="1229E21C" w14:textId="77777777" w:rsidR="007A2D8F" w:rsidRDefault="007A2D8F" w:rsidP="0002432F">
      <w:pPr>
        <w:spacing w:before="120" w:after="120"/>
        <w:ind w:right="-46"/>
        <w:jc w:val="center"/>
        <w:rPr>
          <w:b/>
          <w:sz w:val="32"/>
        </w:rPr>
      </w:pPr>
    </w:p>
    <w:p w14:paraId="254DB86A" w14:textId="5AB33085" w:rsidR="00250D04" w:rsidRDefault="00250D04" w:rsidP="0002432F">
      <w:pPr>
        <w:spacing w:before="120" w:after="120"/>
        <w:ind w:right="-46"/>
        <w:jc w:val="center"/>
        <w:rPr>
          <w:b/>
          <w:sz w:val="32"/>
        </w:rPr>
      </w:pPr>
    </w:p>
    <w:p w14:paraId="2759433F" w14:textId="4CB3932F" w:rsidR="00250D04" w:rsidRDefault="00250D04" w:rsidP="0002432F">
      <w:pPr>
        <w:spacing w:before="120" w:after="120"/>
        <w:ind w:right="-46"/>
        <w:jc w:val="center"/>
        <w:rPr>
          <w:b/>
          <w:sz w:val="32"/>
        </w:rPr>
      </w:pPr>
      <w:r>
        <w:rPr>
          <w:b/>
          <w:sz w:val="32"/>
        </w:rPr>
        <w:t>Rules of Amnesty International United Kingdom Section adopted in accordance with Article 5</w:t>
      </w:r>
      <w:r w:rsidR="00CA6BA5">
        <w:rPr>
          <w:b/>
          <w:sz w:val="32"/>
        </w:rPr>
        <w:t>3</w:t>
      </w:r>
      <w:r>
        <w:rPr>
          <w:b/>
          <w:sz w:val="32"/>
        </w:rPr>
        <w:t xml:space="preserve"> of the Articles of Association</w:t>
      </w:r>
      <w:r w:rsidR="007A2D8F">
        <w:rPr>
          <w:b/>
          <w:sz w:val="32"/>
        </w:rPr>
        <w:t xml:space="preserve"> 2017</w:t>
      </w:r>
    </w:p>
    <w:p w14:paraId="3FA516E2" w14:textId="3B6BB9FD" w:rsidR="00B31C86" w:rsidRDefault="00B31C86" w:rsidP="0002432F">
      <w:pPr>
        <w:spacing w:before="120" w:after="120"/>
        <w:ind w:right="-46"/>
        <w:jc w:val="center"/>
        <w:rPr>
          <w:b/>
          <w:sz w:val="32"/>
        </w:rPr>
      </w:pPr>
    </w:p>
    <w:p w14:paraId="2ECAE93E" w14:textId="3962AA31" w:rsidR="00B31C86" w:rsidRDefault="00B31C86" w:rsidP="0002432F">
      <w:pPr>
        <w:spacing w:before="120" w:after="120"/>
        <w:ind w:right="-46"/>
        <w:jc w:val="center"/>
        <w:rPr>
          <w:b/>
          <w:sz w:val="32"/>
        </w:rPr>
      </w:pPr>
    </w:p>
    <w:p w14:paraId="1FB13251" w14:textId="77777777" w:rsidR="00CA6BA5" w:rsidRDefault="00B31C86" w:rsidP="0002432F">
      <w:pPr>
        <w:spacing w:before="120" w:after="120"/>
        <w:ind w:right="-46"/>
        <w:jc w:val="center"/>
        <w:rPr>
          <w:b/>
          <w:sz w:val="32"/>
        </w:rPr>
      </w:pPr>
      <w:r>
        <w:rPr>
          <w:b/>
          <w:sz w:val="32"/>
        </w:rPr>
        <w:t xml:space="preserve">Amended </w:t>
      </w:r>
    </w:p>
    <w:p w14:paraId="1927FC42" w14:textId="1C05A5AA" w:rsidR="00B31C86" w:rsidRDefault="00B31C86" w:rsidP="0002432F">
      <w:pPr>
        <w:spacing w:before="120" w:after="120"/>
        <w:ind w:right="-46"/>
        <w:jc w:val="center"/>
        <w:rPr>
          <w:b/>
          <w:sz w:val="32"/>
        </w:rPr>
      </w:pPr>
      <w:r>
        <w:rPr>
          <w:b/>
          <w:sz w:val="32"/>
        </w:rPr>
        <w:t>25 June 2022</w:t>
      </w:r>
    </w:p>
    <w:p w14:paraId="6563B6BE" w14:textId="7211480A" w:rsidR="00CA6BA5" w:rsidRDefault="00CA6BA5" w:rsidP="0002432F">
      <w:pPr>
        <w:spacing w:before="120" w:after="120"/>
        <w:ind w:right="-46"/>
        <w:jc w:val="center"/>
        <w:rPr>
          <w:b/>
          <w:sz w:val="32"/>
        </w:rPr>
      </w:pPr>
      <w:r>
        <w:rPr>
          <w:b/>
          <w:sz w:val="32"/>
        </w:rPr>
        <w:t>22 June 2024</w:t>
      </w:r>
    </w:p>
    <w:p w14:paraId="6A56E114" w14:textId="77777777" w:rsidR="007A2D8F" w:rsidRPr="0002432F" w:rsidRDefault="007A2D8F" w:rsidP="007A2D8F">
      <w:pPr>
        <w:spacing w:before="120" w:after="120"/>
        <w:ind w:right="-46"/>
        <w:rPr>
          <w:b/>
          <w:sz w:val="32"/>
        </w:rPr>
      </w:pPr>
    </w:p>
    <w:p w14:paraId="2882CCBC" w14:textId="585D6F08" w:rsidR="00E8747A" w:rsidRDefault="00E8747A" w:rsidP="00E8747A">
      <w:pPr>
        <w:spacing w:before="120" w:after="120"/>
        <w:ind w:left="851" w:right="-46" w:hanging="851"/>
        <w:rPr>
          <w:b/>
        </w:rPr>
      </w:pPr>
    </w:p>
    <w:p w14:paraId="1379728E" w14:textId="35576BE6" w:rsidR="007A2D8F" w:rsidRDefault="007A2D8F" w:rsidP="00E8747A">
      <w:pPr>
        <w:spacing w:before="120" w:after="120"/>
        <w:ind w:left="851" w:right="-46" w:hanging="851"/>
        <w:rPr>
          <w:b/>
        </w:rPr>
      </w:pPr>
    </w:p>
    <w:p w14:paraId="75D3198A" w14:textId="0A40FDEB" w:rsidR="007A2D8F" w:rsidRDefault="007A2D8F" w:rsidP="00E8747A">
      <w:pPr>
        <w:spacing w:before="120" w:after="120"/>
        <w:ind w:left="851" w:right="-46" w:hanging="851"/>
        <w:rPr>
          <w:b/>
        </w:rPr>
      </w:pPr>
    </w:p>
    <w:p w14:paraId="7A59DE2F" w14:textId="7F0C849F" w:rsidR="007A2D8F" w:rsidRDefault="007A2D8F" w:rsidP="00E8747A">
      <w:pPr>
        <w:spacing w:before="120" w:after="120"/>
        <w:ind w:left="851" w:right="-46" w:hanging="851"/>
        <w:rPr>
          <w:b/>
        </w:rPr>
      </w:pPr>
    </w:p>
    <w:p w14:paraId="1E48BF46" w14:textId="1706BECE" w:rsidR="007A2D8F" w:rsidRDefault="007A2D8F" w:rsidP="00E8747A">
      <w:pPr>
        <w:spacing w:before="120" w:after="120"/>
        <w:ind w:left="851" w:right="-46" w:hanging="851"/>
        <w:rPr>
          <w:b/>
        </w:rPr>
      </w:pPr>
    </w:p>
    <w:p w14:paraId="78D2A5CC" w14:textId="2C49D8F9" w:rsidR="007A2D8F" w:rsidRDefault="007A2D8F" w:rsidP="00E8747A">
      <w:pPr>
        <w:spacing w:before="120" w:after="120"/>
        <w:ind w:left="851" w:right="-46" w:hanging="851"/>
        <w:rPr>
          <w:b/>
        </w:rPr>
      </w:pPr>
    </w:p>
    <w:p w14:paraId="281594A9" w14:textId="3E5D0953" w:rsidR="007A2D8F" w:rsidRDefault="007A2D8F" w:rsidP="00E8747A">
      <w:pPr>
        <w:spacing w:before="120" w:after="120"/>
        <w:ind w:left="851" w:right="-46" w:hanging="851"/>
        <w:rPr>
          <w:b/>
        </w:rPr>
      </w:pPr>
    </w:p>
    <w:p w14:paraId="123B7F8F" w14:textId="08AB2C83" w:rsidR="007A2D8F" w:rsidRDefault="007A2D8F" w:rsidP="00E8747A">
      <w:pPr>
        <w:spacing w:before="120" w:after="120"/>
        <w:ind w:left="851" w:right="-46" w:hanging="851"/>
        <w:rPr>
          <w:b/>
        </w:rPr>
      </w:pPr>
    </w:p>
    <w:p w14:paraId="29D74DE8" w14:textId="2605113C" w:rsidR="007A2D8F" w:rsidRDefault="007A2D8F" w:rsidP="00E8747A">
      <w:pPr>
        <w:spacing w:before="120" w:after="120"/>
        <w:ind w:left="851" w:right="-46" w:hanging="851"/>
        <w:rPr>
          <w:b/>
        </w:rPr>
      </w:pPr>
    </w:p>
    <w:p w14:paraId="2B72DF9F" w14:textId="71398D91" w:rsidR="007A2D8F" w:rsidRDefault="007A2D8F" w:rsidP="00E8747A">
      <w:pPr>
        <w:spacing w:before="120" w:after="120"/>
        <w:ind w:left="851" w:right="-46" w:hanging="851"/>
        <w:rPr>
          <w:b/>
        </w:rPr>
      </w:pPr>
    </w:p>
    <w:p w14:paraId="47F8D6A8" w14:textId="54AEB321" w:rsidR="007A2D8F" w:rsidRDefault="007A2D8F" w:rsidP="00E8747A">
      <w:pPr>
        <w:spacing w:before="120" w:after="120"/>
        <w:ind w:left="851" w:right="-46" w:hanging="851"/>
        <w:rPr>
          <w:b/>
        </w:rPr>
      </w:pPr>
    </w:p>
    <w:p w14:paraId="4D1AD84C" w14:textId="5D2E74E5" w:rsidR="007A2D8F" w:rsidRDefault="007A2D8F" w:rsidP="00E8747A">
      <w:pPr>
        <w:spacing w:before="120" w:after="120"/>
        <w:ind w:left="851" w:right="-46" w:hanging="851"/>
        <w:rPr>
          <w:b/>
        </w:rPr>
      </w:pPr>
    </w:p>
    <w:p w14:paraId="5A476150" w14:textId="275B09D5" w:rsidR="007A2D8F" w:rsidRDefault="007A2D8F" w:rsidP="00E8747A">
      <w:pPr>
        <w:spacing w:before="120" w:after="120"/>
        <w:ind w:left="851" w:right="-46" w:hanging="851"/>
        <w:rPr>
          <w:b/>
        </w:rPr>
      </w:pPr>
    </w:p>
    <w:p w14:paraId="6A94F71C" w14:textId="4FFCA814" w:rsidR="007A2D8F" w:rsidRDefault="007A2D8F" w:rsidP="00E8747A">
      <w:pPr>
        <w:spacing w:before="120" w:after="120"/>
        <w:ind w:left="851" w:right="-46" w:hanging="851"/>
        <w:rPr>
          <w:b/>
        </w:rPr>
      </w:pPr>
    </w:p>
    <w:p w14:paraId="2AC8F51D" w14:textId="418389CB" w:rsidR="007A2D8F" w:rsidRDefault="007A2D8F" w:rsidP="00E8747A">
      <w:pPr>
        <w:spacing w:before="120" w:after="120"/>
        <w:ind w:left="851" w:right="-46" w:hanging="851"/>
        <w:rPr>
          <w:b/>
        </w:rPr>
      </w:pPr>
    </w:p>
    <w:p w14:paraId="6E4A148C" w14:textId="74327480" w:rsidR="007A2D8F" w:rsidRDefault="007A2D8F" w:rsidP="00E8747A">
      <w:pPr>
        <w:spacing w:before="120" w:after="120"/>
        <w:ind w:left="851" w:right="-46" w:hanging="851"/>
        <w:rPr>
          <w:b/>
        </w:rPr>
      </w:pPr>
    </w:p>
    <w:p w14:paraId="4EAC5639" w14:textId="5EEF94E0" w:rsidR="007A2D8F" w:rsidRDefault="007A2D8F" w:rsidP="00E8747A">
      <w:pPr>
        <w:spacing w:before="120" w:after="120"/>
        <w:ind w:left="851" w:right="-46" w:hanging="851"/>
        <w:rPr>
          <w:b/>
        </w:rPr>
      </w:pPr>
    </w:p>
    <w:p w14:paraId="282F4099" w14:textId="06A03033" w:rsidR="007A2D8F" w:rsidRDefault="007A2D8F" w:rsidP="00E8747A">
      <w:pPr>
        <w:spacing w:before="120" w:after="120"/>
        <w:ind w:left="851" w:right="-46" w:hanging="851"/>
        <w:rPr>
          <w:b/>
        </w:rPr>
      </w:pPr>
    </w:p>
    <w:p w14:paraId="4A65C9BA" w14:textId="46CE9F45" w:rsidR="007A2D8F" w:rsidRDefault="007A2D8F" w:rsidP="00E8747A">
      <w:pPr>
        <w:spacing w:before="120" w:after="120"/>
        <w:ind w:left="851" w:right="-46" w:hanging="851"/>
        <w:rPr>
          <w:b/>
        </w:rPr>
      </w:pPr>
    </w:p>
    <w:p w14:paraId="7FC0F999" w14:textId="7320124D" w:rsidR="007A2D8F" w:rsidRDefault="007A2D8F" w:rsidP="00E8747A">
      <w:pPr>
        <w:spacing w:before="120" w:after="120"/>
        <w:ind w:left="851" w:right="-46" w:hanging="851"/>
        <w:rPr>
          <w:b/>
        </w:rPr>
      </w:pPr>
    </w:p>
    <w:p w14:paraId="306B07F7" w14:textId="161DB529" w:rsidR="007A2D8F" w:rsidRDefault="007A2D8F" w:rsidP="00E8747A">
      <w:pPr>
        <w:spacing w:before="120" w:after="120"/>
        <w:ind w:left="851" w:right="-46" w:hanging="851"/>
        <w:rPr>
          <w:b/>
        </w:rPr>
      </w:pPr>
    </w:p>
    <w:p w14:paraId="37A0E616" w14:textId="4E87EC7C" w:rsidR="008813D4" w:rsidRPr="008813D4" w:rsidRDefault="008813D4" w:rsidP="008813D4">
      <w:pPr>
        <w:spacing w:before="120" w:after="120"/>
        <w:ind w:left="851" w:right="-46" w:hanging="851"/>
        <w:rPr>
          <w:b/>
        </w:rPr>
      </w:pPr>
      <w:r w:rsidRPr="008813D4">
        <w:rPr>
          <w:b/>
        </w:rPr>
        <w:t>RULES</w:t>
      </w:r>
    </w:p>
    <w:p w14:paraId="567CB4B6" w14:textId="375D7059" w:rsidR="000F5562" w:rsidRPr="00525465" w:rsidRDefault="00605BF6" w:rsidP="00C61C34">
      <w:pPr>
        <w:spacing w:before="120" w:after="120"/>
        <w:ind w:left="851" w:right="-46" w:hanging="851"/>
        <w:rPr>
          <w:b/>
        </w:rPr>
      </w:pPr>
      <w:r w:rsidRPr="00525465">
        <w:rPr>
          <w:b/>
        </w:rPr>
        <w:t>DEFINITIONS</w:t>
      </w:r>
    </w:p>
    <w:p w14:paraId="092D9318" w14:textId="317C5CA0" w:rsidR="00B75B01" w:rsidRPr="00525465" w:rsidRDefault="00B75B01" w:rsidP="00072CC4">
      <w:pPr>
        <w:pStyle w:val="ListParagraph"/>
        <w:spacing w:before="120" w:after="120"/>
        <w:ind w:left="851" w:right="-46"/>
        <w:contextualSpacing w:val="0"/>
      </w:pPr>
      <w:r w:rsidRPr="00525465">
        <w:t xml:space="preserve">In these Rules the following words and phrases shall (except where the context otherwise expressly so requires) have the following meanings: </w:t>
      </w:r>
    </w:p>
    <w:tbl>
      <w:tblPr>
        <w:tblStyle w:val="TableGrid"/>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8"/>
        <w:gridCol w:w="3680"/>
      </w:tblGrid>
      <w:tr w:rsidR="00E8747A" w:rsidRPr="007F0938" w14:paraId="2D7A8B5B" w14:textId="77777777" w:rsidTr="007A5AE0">
        <w:tc>
          <w:tcPr>
            <w:tcW w:w="4258" w:type="dxa"/>
          </w:tcPr>
          <w:p w14:paraId="0D37AD7D" w14:textId="59491E47" w:rsidR="00E8747A" w:rsidRPr="001F4A9E" w:rsidRDefault="00E8747A" w:rsidP="00112438">
            <w:pPr>
              <w:spacing w:before="120" w:after="120"/>
              <w:ind w:right="-46"/>
            </w:pPr>
            <w:r>
              <w:t>‘AGM’</w:t>
            </w:r>
          </w:p>
        </w:tc>
        <w:tc>
          <w:tcPr>
            <w:tcW w:w="3680" w:type="dxa"/>
          </w:tcPr>
          <w:p w14:paraId="2C0741F8" w14:textId="7AAE2965" w:rsidR="00E8747A" w:rsidRPr="001F4A9E" w:rsidRDefault="00E8747A" w:rsidP="00E8747A">
            <w:pPr>
              <w:spacing w:before="120" w:after="120"/>
              <w:ind w:right="-46"/>
            </w:pPr>
            <w:r w:rsidRPr="00525465">
              <w:t>the annual general meeting of members of (the Company)</w:t>
            </w:r>
          </w:p>
        </w:tc>
      </w:tr>
      <w:tr w:rsidR="007F0938" w:rsidRPr="007F0938" w14:paraId="6C4E8057" w14:textId="77777777" w:rsidTr="007A5AE0">
        <w:tc>
          <w:tcPr>
            <w:tcW w:w="4258" w:type="dxa"/>
          </w:tcPr>
          <w:p w14:paraId="3470C58E" w14:textId="21E04C98" w:rsidR="007F0938" w:rsidRPr="001F4A9E" w:rsidRDefault="007F0938" w:rsidP="00112438">
            <w:pPr>
              <w:spacing w:before="120" w:after="120"/>
              <w:ind w:right="-46"/>
            </w:pPr>
            <w:r w:rsidRPr="001F4A9E">
              <w:t>‘Act</w:t>
            </w:r>
            <w:r w:rsidR="00CA6BA5">
              <w:t>s</w:t>
            </w:r>
            <w:r w:rsidRPr="001F4A9E">
              <w:t>’</w:t>
            </w:r>
          </w:p>
        </w:tc>
        <w:tc>
          <w:tcPr>
            <w:tcW w:w="3680" w:type="dxa"/>
          </w:tcPr>
          <w:p w14:paraId="65579726" w14:textId="56A77AAE" w:rsidR="007F0938" w:rsidRPr="001F4A9E" w:rsidRDefault="007F0938" w:rsidP="00112438">
            <w:pPr>
              <w:spacing w:before="120" w:after="120"/>
              <w:ind w:right="-46"/>
            </w:pPr>
            <w:r w:rsidRPr="001F4A9E">
              <w:t>the Companies Act</w:t>
            </w:r>
            <w:r w:rsidR="00CA6BA5">
              <w:t>s</w:t>
            </w:r>
            <w:r w:rsidRPr="001F4A9E">
              <w:t xml:space="preserve"> (as defined in Section 2 of the Companies Act 2006)</w:t>
            </w:r>
          </w:p>
        </w:tc>
      </w:tr>
      <w:tr w:rsidR="007F0938" w:rsidRPr="007F0938" w14:paraId="75277A3D" w14:textId="77777777" w:rsidTr="007A5AE0">
        <w:tc>
          <w:tcPr>
            <w:tcW w:w="4258" w:type="dxa"/>
          </w:tcPr>
          <w:p w14:paraId="1A9E8D42" w14:textId="07D9FA7A" w:rsidR="007F0938" w:rsidRPr="001F4A9E" w:rsidRDefault="007F0938" w:rsidP="00112438">
            <w:pPr>
              <w:spacing w:before="120" w:after="120"/>
              <w:ind w:right="-46"/>
            </w:pPr>
            <w:r w:rsidRPr="001F4A9E">
              <w:t xml:space="preserve">‘AIUK </w:t>
            </w:r>
            <w:r w:rsidR="00CA6BA5">
              <w:t>Chief Executive’</w:t>
            </w:r>
          </w:p>
        </w:tc>
        <w:tc>
          <w:tcPr>
            <w:tcW w:w="3680" w:type="dxa"/>
          </w:tcPr>
          <w:p w14:paraId="4F9DD5FF" w14:textId="30030DEE" w:rsidR="007F0938" w:rsidRPr="001F4A9E" w:rsidRDefault="00CA6BA5" w:rsidP="00112438">
            <w:pPr>
              <w:spacing w:before="120" w:after="120"/>
              <w:ind w:right="-46"/>
            </w:pPr>
            <w:r>
              <w:t>“</w:t>
            </w:r>
            <w:proofErr w:type="gramStart"/>
            <w:r>
              <w:t>the</w:t>
            </w:r>
            <w:proofErr w:type="gramEnd"/>
            <w:r>
              <w:t xml:space="preserve"> member of staff who is the most senior paid employee of Amnesty International UK Section, also referred to in the Articles of Association as the “AIUK Director”;</w:t>
            </w:r>
            <w:r w:rsidR="007F0938" w:rsidRPr="001F4A9E">
              <w:t xml:space="preserve"> </w:t>
            </w:r>
          </w:p>
        </w:tc>
      </w:tr>
      <w:tr w:rsidR="007A5AE0" w:rsidRPr="007F0938" w14:paraId="39D07EAE" w14:textId="77777777" w:rsidTr="007A5AE0">
        <w:tc>
          <w:tcPr>
            <w:tcW w:w="4258" w:type="dxa"/>
          </w:tcPr>
          <w:p w14:paraId="133FD137" w14:textId="43BBCBDA" w:rsidR="007A5AE0" w:rsidRPr="001F4A9E" w:rsidRDefault="007A5AE0" w:rsidP="00112438">
            <w:pPr>
              <w:spacing w:before="120" w:after="120"/>
              <w:ind w:right="-46"/>
            </w:pPr>
            <w:r>
              <w:t>‘Article</w:t>
            </w:r>
            <w:r w:rsidR="005743B5">
              <w:t>(</w:t>
            </w:r>
            <w:r>
              <w:t>s</w:t>
            </w:r>
            <w:r w:rsidR="005743B5">
              <w:t>)</w:t>
            </w:r>
            <w:r>
              <w:t>’</w:t>
            </w:r>
          </w:p>
        </w:tc>
        <w:tc>
          <w:tcPr>
            <w:tcW w:w="3680" w:type="dxa"/>
          </w:tcPr>
          <w:p w14:paraId="1249F1DE" w14:textId="5628FAD1" w:rsidR="007A5AE0" w:rsidRPr="001F4A9E" w:rsidRDefault="007A5AE0" w:rsidP="007A5AE0">
            <w:pPr>
              <w:spacing w:before="120" w:after="120"/>
              <w:ind w:right="-46"/>
            </w:pPr>
            <w:r>
              <w:t xml:space="preserve">The </w:t>
            </w:r>
            <w:r w:rsidRPr="007A5AE0">
              <w:t xml:space="preserve">Articles of </w:t>
            </w:r>
            <w:r>
              <w:t>A</w:t>
            </w:r>
            <w:r w:rsidRPr="007A5AE0">
              <w:t>ssociation</w:t>
            </w:r>
            <w:r>
              <w:t xml:space="preserve"> of </w:t>
            </w:r>
            <w:r w:rsidRPr="001F4A9E">
              <w:t>Amnesty International UK Section</w:t>
            </w:r>
            <w:r w:rsidR="00CA6BA5">
              <w:t>;</w:t>
            </w:r>
          </w:p>
        </w:tc>
      </w:tr>
      <w:tr w:rsidR="007F0938" w:rsidRPr="007F0938" w14:paraId="320B4A94" w14:textId="77777777" w:rsidTr="007A5AE0">
        <w:tc>
          <w:tcPr>
            <w:tcW w:w="4258" w:type="dxa"/>
          </w:tcPr>
          <w:p w14:paraId="068977DD" w14:textId="77777777" w:rsidR="007F0938" w:rsidRPr="001F4A9E" w:rsidRDefault="007F0938" w:rsidP="00112438">
            <w:pPr>
              <w:spacing w:before="120" w:after="120"/>
              <w:ind w:right="-46"/>
            </w:pPr>
            <w:r w:rsidRPr="001F4A9E">
              <w:t>‘Board’</w:t>
            </w:r>
          </w:p>
        </w:tc>
        <w:tc>
          <w:tcPr>
            <w:tcW w:w="3680" w:type="dxa"/>
          </w:tcPr>
          <w:p w14:paraId="62C81CF2" w14:textId="77777777" w:rsidR="007F0938" w:rsidRPr="001F4A9E" w:rsidRDefault="007F0938" w:rsidP="00112438">
            <w:pPr>
              <w:spacing w:before="120" w:after="120"/>
              <w:ind w:right="-46"/>
            </w:pPr>
            <w:r w:rsidRPr="001F4A9E">
              <w:t>the Board of Directors of Amnesty International UK Section;</w:t>
            </w:r>
          </w:p>
        </w:tc>
      </w:tr>
      <w:tr w:rsidR="007F0938" w:rsidRPr="007F0938" w14:paraId="1C5EE69A" w14:textId="77777777" w:rsidTr="007A5AE0">
        <w:tc>
          <w:tcPr>
            <w:tcW w:w="4258" w:type="dxa"/>
          </w:tcPr>
          <w:p w14:paraId="7638E15C" w14:textId="77777777" w:rsidR="007F0938" w:rsidRPr="001F4A9E" w:rsidRDefault="007F0938" w:rsidP="00112438">
            <w:pPr>
              <w:spacing w:before="120" w:after="120"/>
              <w:ind w:right="-46"/>
            </w:pPr>
            <w:r w:rsidRPr="001F4A9E">
              <w:t>‘Chair’</w:t>
            </w:r>
          </w:p>
        </w:tc>
        <w:tc>
          <w:tcPr>
            <w:tcW w:w="3680" w:type="dxa"/>
          </w:tcPr>
          <w:p w14:paraId="7F2A7F34" w14:textId="1A9DE9AF" w:rsidR="007F0938" w:rsidRPr="001F4A9E" w:rsidRDefault="007F0938" w:rsidP="00112438">
            <w:pPr>
              <w:spacing w:before="120" w:after="120"/>
              <w:ind w:right="-46"/>
            </w:pPr>
            <w:r w:rsidRPr="001F4A9E">
              <w:t>the Chair of Amnesty International UK Section elected in accordance with Article 4</w:t>
            </w:r>
            <w:r w:rsidR="00054D89">
              <w:t>5</w:t>
            </w:r>
            <w:r w:rsidRPr="001F4A9E">
              <w:t>.6 of the Constitution or any person who serves in that role for a board meeting;</w:t>
            </w:r>
          </w:p>
        </w:tc>
      </w:tr>
      <w:tr w:rsidR="007F0938" w:rsidRPr="007F0938" w14:paraId="1049B7D6" w14:textId="77777777" w:rsidTr="007A5AE0">
        <w:tc>
          <w:tcPr>
            <w:tcW w:w="4258" w:type="dxa"/>
          </w:tcPr>
          <w:p w14:paraId="7FC16D65" w14:textId="77777777" w:rsidR="007F0938" w:rsidRPr="001F4A9E" w:rsidRDefault="007F0938" w:rsidP="00112438">
            <w:pPr>
              <w:spacing w:before="120" w:after="120"/>
              <w:ind w:right="-46"/>
            </w:pPr>
            <w:r w:rsidRPr="001F4A9E">
              <w:t>‘Clear days’</w:t>
            </w:r>
          </w:p>
        </w:tc>
        <w:tc>
          <w:tcPr>
            <w:tcW w:w="3680" w:type="dxa"/>
          </w:tcPr>
          <w:p w14:paraId="3A8EB886" w14:textId="77777777" w:rsidR="007F0938" w:rsidRPr="001F4A9E" w:rsidRDefault="007F0938" w:rsidP="00112438">
            <w:pPr>
              <w:spacing w:before="120" w:after="120"/>
              <w:ind w:right="-46"/>
            </w:pPr>
            <w:r w:rsidRPr="001F4A9E">
              <w:t xml:space="preserve">in relation to the period of a notice, that period excluding the day when the notice is given or deemed to be given and the day for which it is given or on which it is to take effect;  </w:t>
            </w:r>
          </w:p>
        </w:tc>
      </w:tr>
      <w:tr w:rsidR="007F0938" w:rsidRPr="007F0938" w14:paraId="1FE79C88" w14:textId="77777777" w:rsidTr="007A5AE0">
        <w:tc>
          <w:tcPr>
            <w:tcW w:w="4258" w:type="dxa"/>
          </w:tcPr>
          <w:p w14:paraId="771E4755" w14:textId="77777777" w:rsidR="007F0938" w:rsidRPr="001F4A9E" w:rsidRDefault="007F0938" w:rsidP="00112438">
            <w:pPr>
              <w:spacing w:before="120" w:after="120"/>
              <w:ind w:right="-46"/>
            </w:pPr>
            <w:r w:rsidRPr="001F4A9E">
              <w:lastRenderedPageBreak/>
              <w:t>‘Committee(s)’</w:t>
            </w:r>
          </w:p>
        </w:tc>
        <w:tc>
          <w:tcPr>
            <w:tcW w:w="3680" w:type="dxa"/>
          </w:tcPr>
          <w:p w14:paraId="5FA389BA" w14:textId="77777777" w:rsidR="007F0938" w:rsidRPr="001F4A9E" w:rsidRDefault="007F0938" w:rsidP="00112438">
            <w:pPr>
              <w:spacing w:before="120" w:after="120"/>
              <w:ind w:right="-46"/>
              <w:rPr>
                <w:color w:val="FF0000"/>
              </w:rPr>
            </w:pPr>
            <w:r w:rsidRPr="001F4A9E">
              <w:t xml:space="preserve">Any Committee established by the AGM from time to time pursuant to the Rules; </w:t>
            </w:r>
          </w:p>
        </w:tc>
      </w:tr>
      <w:tr w:rsidR="007F0938" w:rsidRPr="007F0938" w14:paraId="7F466E96" w14:textId="77777777" w:rsidTr="007A5AE0">
        <w:tc>
          <w:tcPr>
            <w:tcW w:w="4258" w:type="dxa"/>
          </w:tcPr>
          <w:p w14:paraId="1260F3C3" w14:textId="77777777" w:rsidR="007F0938" w:rsidRPr="001F4A9E" w:rsidRDefault="007F0938" w:rsidP="00112438">
            <w:pPr>
              <w:spacing w:before="120" w:after="120"/>
              <w:ind w:right="-46"/>
            </w:pPr>
            <w:r w:rsidRPr="001F4A9E">
              <w:t>‘Constitution’</w:t>
            </w:r>
          </w:p>
        </w:tc>
        <w:tc>
          <w:tcPr>
            <w:tcW w:w="3680" w:type="dxa"/>
          </w:tcPr>
          <w:p w14:paraId="2C74289A" w14:textId="77777777" w:rsidR="007F0938" w:rsidRPr="001F4A9E" w:rsidRDefault="007F0938" w:rsidP="00112438">
            <w:pPr>
              <w:spacing w:before="120" w:after="120"/>
              <w:ind w:right="-46"/>
            </w:pPr>
            <w:r w:rsidRPr="001F4A9E">
              <w:t>the Articles and Rules of Amnesty International UK Section as in force from time to time;</w:t>
            </w:r>
          </w:p>
        </w:tc>
      </w:tr>
      <w:tr w:rsidR="007F0938" w:rsidRPr="007F0938" w14:paraId="22A53CCE" w14:textId="77777777" w:rsidTr="007A5AE0">
        <w:tc>
          <w:tcPr>
            <w:tcW w:w="4258" w:type="dxa"/>
          </w:tcPr>
          <w:p w14:paraId="4C0D7E1B" w14:textId="77777777" w:rsidR="007F0938" w:rsidRPr="001F4A9E" w:rsidRDefault="007F0938" w:rsidP="00112438">
            <w:pPr>
              <w:spacing w:before="120" w:after="120"/>
              <w:ind w:right="-46"/>
            </w:pPr>
            <w:r w:rsidRPr="001F4A9E">
              <w:t xml:space="preserve"> ‘Director and Directors’</w:t>
            </w:r>
          </w:p>
        </w:tc>
        <w:tc>
          <w:tcPr>
            <w:tcW w:w="3680" w:type="dxa"/>
          </w:tcPr>
          <w:p w14:paraId="3CABB756" w14:textId="371A94AC" w:rsidR="007F0938" w:rsidRPr="001F4A9E" w:rsidRDefault="007F0938" w:rsidP="00112438">
            <w:pPr>
              <w:spacing w:before="120" w:after="120"/>
              <w:ind w:right="-46"/>
            </w:pPr>
            <w:r w:rsidRPr="001F4A9E">
              <w:t>the Director and Directors as defined in the Act</w:t>
            </w:r>
            <w:r w:rsidR="00054D89">
              <w:t>s</w:t>
            </w:r>
            <w:r w:rsidRPr="001F4A9E">
              <w:t xml:space="preserve"> including an Elected and Co-opted Director; </w:t>
            </w:r>
          </w:p>
        </w:tc>
      </w:tr>
      <w:tr w:rsidR="007F0938" w:rsidRPr="007F0938" w14:paraId="1C4E78C9" w14:textId="77777777" w:rsidTr="007A5AE0">
        <w:tc>
          <w:tcPr>
            <w:tcW w:w="4258" w:type="dxa"/>
          </w:tcPr>
          <w:p w14:paraId="381A6727" w14:textId="77777777" w:rsidR="007F0938" w:rsidRPr="001F4A9E" w:rsidRDefault="007F0938" w:rsidP="00112438">
            <w:pPr>
              <w:spacing w:before="120" w:after="120"/>
              <w:ind w:right="-46"/>
            </w:pPr>
            <w:r w:rsidRPr="001F4A9E">
              <w:t>‘EGM’</w:t>
            </w:r>
          </w:p>
        </w:tc>
        <w:tc>
          <w:tcPr>
            <w:tcW w:w="3680" w:type="dxa"/>
          </w:tcPr>
          <w:p w14:paraId="67F42579" w14:textId="77777777" w:rsidR="007F0938" w:rsidRPr="001F4A9E" w:rsidRDefault="007F0938" w:rsidP="00112438">
            <w:pPr>
              <w:spacing w:before="120" w:after="120"/>
              <w:ind w:right="-46"/>
            </w:pPr>
            <w:r w:rsidRPr="001F4A9E">
              <w:t>any general meeting of Members as prescribed in the Rules other than the AGM;</w:t>
            </w:r>
          </w:p>
        </w:tc>
      </w:tr>
      <w:tr w:rsidR="007F0938" w:rsidRPr="007F0938" w14:paraId="748ADC06" w14:textId="77777777" w:rsidTr="007A5AE0">
        <w:tc>
          <w:tcPr>
            <w:tcW w:w="4258" w:type="dxa"/>
          </w:tcPr>
          <w:p w14:paraId="097C8B18" w14:textId="77777777" w:rsidR="007F0938" w:rsidRPr="001F4A9E" w:rsidRDefault="007F0938" w:rsidP="00112438">
            <w:pPr>
              <w:spacing w:before="120" w:after="120"/>
              <w:ind w:right="-46"/>
            </w:pPr>
            <w:r w:rsidRPr="001F4A9E">
              <w:t xml:space="preserve">‘Electronic form’ and </w:t>
            </w:r>
            <w:r w:rsidR="005C20E8" w:rsidRPr="001F4A9E">
              <w:t>‘</w:t>
            </w:r>
            <w:r w:rsidRPr="001F4A9E">
              <w:t>electronic means</w:t>
            </w:r>
            <w:r w:rsidR="005C20E8" w:rsidRPr="001F4A9E">
              <w:t>’</w:t>
            </w:r>
          </w:p>
        </w:tc>
        <w:tc>
          <w:tcPr>
            <w:tcW w:w="3680" w:type="dxa"/>
          </w:tcPr>
          <w:p w14:paraId="09F0C38E" w14:textId="77777777" w:rsidR="007F0938" w:rsidRPr="001F4A9E" w:rsidRDefault="007F0938" w:rsidP="007F0938">
            <w:pPr>
              <w:spacing w:before="120" w:after="120"/>
              <w:ind w:right="-46"/>
            </w:pPr>
            <w:r w:rsidRPr="001F4A9E">
              <w:t xml:space="preserve">Have the meanings respectively given to them in Section 1168 of the Companies Act 2006; </w:t>
            </w:r>
          </w:p>
        </w:tc>
      </w:tr>
      <w:tr w:rsidR="007F0938" w:rsidRPr="007F0938" w14:paraId="2AD860C1" w14:textId="77777777" w:rsidTr="007A5AE0">
        <w:tc>
          <w:tcPr>
            <w:tcW w:w="4258" w:type="dxa"/>
          </w:tcPr>
          <w:p w14:paraId="0E27D04A" w14:textId="77777777" w:rsidR="007F0938" w:rsidRPr="007F0938" w:rsidRDefault="007F0938" w:rsidP="00112438">
            <w:pPr>
              <w:spacing w:before="120" w:after="120"/>
              <w:ind w:right="-46"/>
            </w:pPr>
            <w:r w:rsidRPr="007F0938">
              <w:t>‘General Meeting’</w:t>
            </w:r>
          </w:p>
        </w:tc>
        <w:tc>
          <w:tcPr>
            <w:tcW w:w="3680" w:type="dxa"/>
          </w:tcPr>
          <w:p w14:paraId="286E4EF9" w14:textId="77777777" w:rsidR="007F0938" w:rsidRPr="007F0938" w:rsidRDefault="007F0938" w:rsidP="007F0938">
            <w:pPr>
              <w:spacing w:before="120" w:after="120"/>
              <w:ind w:right="-46"/>
            </w:pPr>
            <w:r w:rsidRPr="007F0938">
              <w:t>a</w:t>
            </w:r>
            <w:r w:rsidRPr="007F0938">
              <w:rPr>
                <w:color w:val="FF0000"/>
              </w:rPr>
              <w:t xml:space="preserve"> </w:t>
            </w:r>
            <w:r w:rsidRPr="007F0938">
              <w:t>general meeting</w:t>
            </w:r>
            <w:r>
              <w:t xml:space="preserve"> of Amnesty International UK Section</w:t>
            </w:r>
            <w:r w:rsidRPr="007F0938">
              <w:t>;</w:t>
            </w:r>
          </w:p>
        </w:tc>
      </w:tr>
      <w:tr w:rsidR="007F0938" w:rsidRPr="007F0938" w14:paraId="32C737B9" w14:textId="77777777" w:rsidTr="007A5AE0">
        <w:tc>
          <w:tcPr>
            <w:tcW w:w="4258" w:type="dxa"/>
          </w:tcPr>
          <w:p w14:paraId="4A048BBA" w14:textId="77777777" w:rsidR="007F0938" w:rsidRPr="007F0938" w:rsidRDefault="007F0938" w:rsidP="00112438">
            <w:pPr>
              <w:spacing w:before="120" w:after="120"/>
              <w:ind w:right="-46"/>
            </w:pPr>
            <w:r w:rsidRPr="007F0938">
              <w:t>‘Members’</w:t>
            </w:r>
          </w:p>
        </w:tc>
        <w:tc>
          <w:tcPr>
            <w:tcW w:w="3680" w:type="dxa"/>
          </w:tcPr>
          <w:p w14:paraId="2B714094" w14:textId="792B51CF" w:rsidR="007F0938" w:rsidRPr="007F0938" w:rsidRDefault="007F0938" w:rsidP="007F0938">
            <w:pPr>
              <w:spacing w:before="120" w:after="120"/>
              <w:ind w:right="-46"/>
            </w:pPr>
            <w:r w:rsidRPr="007F0938">
              <w:t xml:space="preserve">individuals, </w:t>
            </w:r>
            <w:proofErr w:type="gramStart"/>
            <w:r w:rsidRPr="007F0938">
              <w:t>families</w:t>
            </w:r>
            <w:proofErr w:type="gramEnd"/>
            <w:r w:rsidRPr="007F0938">
              <w:t xml:space="preserve"> or organisations who are determined to be Members in accordance with the </w:t>
            </w:r>
            <w:r w:rsidR="00054D89">
              <w:t>Articles</w:t>
            </w:r>
            <w:r w:rsidRPr="007F0938">
              <w:t xml:space="preserve"> excluding Standing Orders Committee Members when acting in that capacity</w:t>
            </w:r>
            <w:r>
              <w:t>;</w:t>
            </w:r>
            <w:r w:rsidRPr="007F0938">
              <w:t xml:space="preserve"> </w:t>
            </w:r>
          </w:p>
        </w:tc>
      </w:tr>
      <w:tr w:rsidR="007F0938" w:rsidRPr="007F0938" w14:paraId="11914EA5" w14:textId="77777777" w:rsidTr="007A5AE0">
        <w:tc>
          <w:tcPr>
            <w:tcW w:w="4258" w:type="dxa"/>
          </w:tcPr>
          <w:p w14:paraId="1FB17266" w14:textId="77777777" w:rsidR="007F0938" w:rsidRPr="007F0938" w:rsidRDefault="007F0938" w:rsidP="00112438">
            <w:pPr>
              <w:spacing w:before="120" w:after="120"/>
              <w:ind w:right="-46"/>
            </w:pPr>
            <w:r w:rsidRPr="007F0938">
              <w:t xml:space="preserve">‘Rules’ </w:t>
            </w:r>
          </w:p>
        </w:tc>
        <w:tc>
          <w:tcPr>
            <w:tcW w:w="3680" w:type="dxa"/>
          </w:tcPr>
          <w:p w14:paraId="757E83C0" w14:textId="77777777" w:rsidR="007F0938" w:rsidRPr="007F0938" w:rsidRDefault="007F0938" w:rsidP="005C20E8">
            <w:pPr>
              <w:spacing w:before="120" w:after="120"/>
              <w:ind w:right="-46"/>
            </w:pPr>
            <w:r w:rsidRPr="007F0938">
              <w:t>th</w:t>
            </w:r>
            <w:r w:rsidR="005C20E8">
              <w:t>os</w:t>
            </w:r>
            <w:r w:rsidRPr="007F0938">
              <w:t xml:space="preserve">e Rules </w:t>
            </w:r>
            <w:r w:rsidR="005C20E8">
              <w:t>proposed from time to time by the Directors and approved by the Members in accordance with Article 52</w:t>
            </w:r>
          </w:p>
        </w:tc>
      </w:tr>
      <w:tr w:rsidR="007F0938" w:rsidRPr="007F0938" w14:paraId="55CED5A3" w14:textId="77777777" w:rsidTr="007A5AE0">
        <w:tc>
          <w:tcPr>
            <w:tcW w:w="4258" w:type="dxa"/>
          </w:tcPr>
          <w:p w14:paraId="0E82C704" w14:textId="77777777" w:rsidR="007F0938" w:rsidRPr="007F0938" w:rsidRDefault="005C20E8" w:rsidP="00112438">
            <w:pPr>
              <w:spacing w:before="120" w:after="120"/>
              <w:ind w:right="-46"/>
            </w:pPr>
            <w:r>
              <w:t>‘</w:t>
            </w:r>
            <w:r w:rsidR="007F0938" w:rsidRPr="007F0938">
              <w:t>Standing Orders Committee</w:t>
            </w:r>
            <w:r>
              <w:t>’</w:t>
            </w:r>
          </w:p>
        </w:tc>
        <w:tc>
          <w:tcPr>
            <w:tcW w:w="3680" w:type="dxa"/>
          </w:tcPr>
          <w:p w14:paraId="4A19AB56" w14:textId="1E1837DB" w:rsidR="007F0938" w:rsidRPr="007F0938" w:rsidRDefault="00054D89" w:rsidP="005C20E8">
            <w:pPr>
              <w:spacing w:before="120" w:after="120"/>
              <w:ind w:right="-46"/>
            </w:pPr>
            <w:r>
              <w:t>The Committee elected by the AGM to interpret and advise on the AGM Standing Orders</w:t>
            </w:r>
            <w:r>
              <w:t>;</w:t>
            </w:r>
          </w:p>
        </w:tc>
      </w:tr>
      <w:tr w:rsidR="005C20E8" w:rsidRPr="007F0938" w14:paraId="64D3FEA5" w14:textId="77777777" w:rsidTr="007A5AE0">
        <w:tc>
          <w:tcPr>
            <w:tcW w:w="4258" w:type="dxa"/>
          </w:tcPr>
          <w:p w14:paraId="7AE6AE6B" w14:textId="2223947E" w:rsidR="005C20E8" w:rsidRPr="007F0938" w:rsidRDefault="005C20E8" w:rsidP="005C20E8">
            <w:pPr>
              <w:spacing w:before="120" w:after="120"/>
              <w:ind w:right="-46"/>
            </w:pPr>
            <w:r>
              <w:t>‘Vice</w:t>
            </w:r>
            <w:r w:rsidRPr="007F0938">
              <w:t xml:space="preserve"> Chair</w:t>
            </w:r>
            <w:r w:rsidR="00054D89">
              <w:t>s</w:t>
            </w:r>
            <w:r w:rsidRPr="007F0938">
              <w:t>’</w:t>
            </w:r>
          </w:p>
        </w:tc>
        <w:tc>
          <w:tcPr>
            <w:tcW w:w="3680" w:type="dxa"/>
          </w:tcPr>
          <w:p w14:paraId="7EBE47C3" w14:textId="34B24B22" w:rsidR="005C20E8" w:rsidRPr="007F0938" w:rsidRDefault="005C20E8" w:rsidP="005C20E8">
            <w:pPr>
              <w:spacing w:before="120" w:after="120"/>
              <w:ind w:right="-46"/>
            </w:pPr>
            <w:r w:rsidRPr="007F0938">
              <w:t xml:space="preserve">the </w:t>
            </w:r>
            <w:r>
              <w:t>Vice Chair</w:t>
            </w:r>
            <w:r w:rsidR="00054D89">
              <w:t>s</w:t>
            </w:r>
            <w:r>
              <w:t xml:space="preserve"> </w:t>
            </w:r>
            <w:r w:rsidRPr="007F0938">
              <w:t xml:space="preserve">of </w:t>
            </w:r>
            <w:r>
              <w:t>the Directors elected in accordance with Article 4</w:t>
            </w:r>
            <w:r w:rsidR="00054D89">
              <w:t>5</w:t>
            </w:r>
            <w:r>
              <w:t>.6</w:t>
            </w:r>
          </w:p>
        </w:tc>
      </w:tr>
    </w:tbl>
    <w:p w14:paraId="5813D25B" w14:textId="4FA25151" w:rsidR="007A2D8F" w:rsidRDefault="007A2D8F" w:rsidP="00B24F4A">
      <w:pPr>
        <w:spacing w:before="120" w:after="120"/>
        <w:ind w:right="-46"/>
        <w:rPr>
          <w:b/>
          <w:color w:val="000000" w:themeColor="text1"/>
        </w:rPr>
      </w:pPr>
    </w:p>
    <w:p w14:paraId="211676C8" w14:textId="77777777" w:rsidR="007A2D8F" w:rsidRDefault="007A2D8F">
      <w:pPr>
        <w:rPr>
          <w:b/>
          <w:color w:val="000000" w:themeColor="text1"/>
        </w:rPr>
      </w:pPr>
      <w:r>
        <w:rPr>
          <w:b/>
          <w:color w:val="000000" w:themeColor="text1"/>
        </w:rPr>
        <w:br w:type="page"/>
      </w:r>
    </w:p>
    <w:p w14:paraId="54A16B68" w14:textId="77777777" w:rsidR="001618D2" w:rsidRDefault="001618D2" w:rsidP="00B24F4A">
      <w:pPr>
        <w:spacing w:before="120" w:after="120"/>
        <w:ind w:right="-46"/>
        <w:rPr>
          <w:b/>
          <w:color w:val="000000" w:themeColor="text1"/>
        </w:rPr>
      </w:pPr>
    </w:p>
    <w:p w14:paraId="02AEE3BE" w14:textId="2C3D9529" w:rsidR="00396681" w:rsidRDefault="00072CC4" w:rsidP="00B24F4A">
      <w:pPr>
        <w:pStyle w:val="ListParagraph"/>
        <w:numPr>
          <w:ilvl w:val="0"/>
          <w:numId w:val="1"/>
        </w:numPr>
        <w:spacing w:before="120" w:after="120"/>
        <w:ind w:right="-46"/>
        <w:rPr>
          <w:b/>
          <w:color w:val="000000" w:themeColor="text1"/>
        </w:rPr>
      </w:pPr>
      <w:r>
        <w:rPr>
          <w:b/>
          <w:color w:val="000000" w:themeColor="text1"/>
        </w:rPr>
        <w:t>General Provisions</w:t>
      </w:r>
    </w:p>
    <w:p w14:paraId="42FE6C20" w14:textId="77777777" w:rsidR="00396681" w:rsidRDefault="00396681" w:rsidP="00396681">
      <w:pPr>
        <w:pStyle w:val="ListParagraph"/>
        <w:spacing w:before="120" w:after="120"/>
        <w:ind w:left="360" w:right="-46"/>
        <w:rPr>
          <w:b/>
          <w:color w:val="000000" w:themeColor="text1"/>
        </w:rPr>
      </w:pPr>
    </w:p>
    <w:p w14:paraId="69CAE8FF" w14:textId="0E6B72CC" w:rsidR="00396681" w:rsidRPr="00396681" w:rsidRDefault="00396681" w:rsidP="00396681">
      <w:pPr>
        <w:pStyle w:val="ListParagraph"/>
        <w:numPr>
          <w:ilvl w:val="1"/>
          <w:numId w:val="1"/>
        </w:numPr>
        <w:spacing w:before="120" w:after="120"/>
        <w:ind w:right="-46"/>
        <w:rPr>
          <w:b/>
          <w:color w:val="000000" w:themeColor="text1"/>
        </w:rPr>
      </w:pPr>
      <w:r>
        <w:t xml:space="preserve">These Rules are adopted in accordance with </w:t>
      </w:r>
      <w:r w:rsidR="004F36B5">
        <w:t>Article 5</w:t>
      </w:r>
      <w:r w:rsidR="00054D89">
        <w:t>3</w:t>
      </w:r>
      <w:r w:rsidR="004F36B5">
        <w:t xml:space="preserve"> of Amnesty International</w:t>
      </w:r>
      <w:r>
        <w:t xml:space="preserve"> UK Section’s Articles of Association (The Articles).</w:t>
      </w:r>
    </w:p>
    <w:p w14:paraId="5A79FD28" w14:textId="05528AE5" w:rsidR="00396681" w:rsidRPr="00396681" w:rsidRDefault="00396681" w:rsidP="00396681">
      <w:pPr>
        <w:pStyle w:val="ListParagraph"/>
        <w:numPr>
          <w:ilvl w:val="1"/>
          <w:numId w:val="1"/>
        </w:numPr>
        <w:spacing w:before="120" w:after="120"/>
        <w:ind w:right="-46"/>
        <w:rPr>
          <w:b/>
          <w:color w:val="000000" w:themeColor="text1"/>
        </w:rPr>
      </w:pPr>
      <w:r>
        <w:t xml:space="preserve">The meaning of terms used in these Rules shall be the same as the meaning set out in </w:t>
      </w:r>
      <w:r w:rsidR="007A2D8F">
        <w:t xml:space="preserve">the </w:t>
      </w:r>
      <w:r>
        <w:t>Articles</w:t>
      </w:r>
    </w:p>
    <w:p w14:paraId="7BCB4A11" w14:textId="33F9E275" w:rsidR="00396681" w:rsidRPr="00396681" w:rsidRDefault="00396681" w:rsidP="00396681">
      <w:pPr>
        <w:pStyle w:val="ListParagraph"/>
        <w:numPr>
          <w:ilvl w:val="1"/>
          <w:numId w:val="1"/>
        </w:numPr>
        <w:spacing w:before="120" w:after="120"/>
        <w:ind w:right="-46"/>
        <w:rPr>
          <w:b/>
          <w:color w:val="000000" w:themeColor="text1"/>
        </w:rPr>
      </w:pPr>
      <w:r>
        <w:t>In case of any conflict arising between governance provisions, law shall have precedence, followed by the Articles, followed by the Rules.</w:t>
      </w:r>
    </w:p>
    <w:p w14:paraId="147161D2" w14:textId="3FED57CA" w:rsidR="00396681" w:rsidRPr="00396681" w:rsidRDefault="00396681" w:rsidP="00396681">
      <w:pPr>
        <w:pStyle w:val="ListParagraph"/>
        <w:numPr>
          <w:ilvl w:val="1"/>
          <w:numId w:val="1"/>
        </w:numPr>
        <w:spacing w:before="120" w:after="120"/>
        <w:ind w:right="-46"/>
        <w:rPr>
          <w:b/>
          <w:color w:val="000000" w:themeColor="text1"/>
        </w:rPr>
      </w:pPr>
      <w:r>
        <w:t>These Rules shall be made available on AIUK’s website.  A hard copy may be made available upon request.</w:t>
      </w:r>
    </w:p>
    <w:p w14:paraId="4D7FE08F" w14:textId="3BC7B456" w:rsidR="00396681" w:rsidRPr="00396681" w:rsidRDefault="00396681" w:rsidP="00396681">
      <w:pPr>
        <w:pStyle w:val="ListParagraph"/>
        <w:numPr>
          <w:ilvl w:val="1"/>
          <w:numId w:val="1"/>
        </w:numPr>
        <w:spacing w:before="120" w:after="120"/>
        <w:ind w:right="-46"/>
        <w:rPr>
          <w:b/>
          <w:color w:val="000000" w:themeColor="text1"/>
        </w:rPr>
      </w:pPr>
      <w:r>
        <w:t xml:space="preserve">The </w:t>
      </w:r>
      <w:r w:rsidR="004F36B5">
        <w:t>Board</w:t>
      </w:r>
      <w:r>
        <w:t xml:space="preserve"> shall review these Rules at least every three years.</w:t>
      </w:r>
    </w:p>
    <w:p w14:paraId="4760390F" w14:textId="77777777" w:rsidR="00396681" w:rsidRPr="00396681" w:rsidRDefault="00396681" w:rsidP="00396681">
      <w:pPr>
        <w:pStyle w:val="ListParagraph"/>
        <w:spacing w:before="120" w:after="120"/>
        <w:ind w:left="792" w:right="-46"/>
        <w:rPr>
          <w:b/>
          <w:color w:val="000000" w:themeColor="text1"/>
        </w:rPr>
      </w:pPr>
    </w:p>
    <w:p w14:paraId="33E8A820" w14:textId="2F8B6DA3" w:rsidR="00396681" w:rsidRPr="00072CC4" w:rsidRDefault="00396681" w:rsidP="00072CC4">
      <w:pPr>
        <w:pStyle w:val="ListParagraph"/>
        <w:numPr>
          <w:ilvl w:val="0"/>
          <w:numId w:val="1"/>
        </w:numPr>
        <w:spacing w:before="120" w:after="120"/>
        <w:ind w:right="-46"/>
        <w:rPr>
          <w:b/>
          <w:color w:val="000000" w:themeColor="text1"/>
        </w:rPr>
      </w:pPr>
      <w:r w:rsidRPr="00072CC4">
        <w:rPr>
          <w:b/>
        </w:rPr>
        <w:t>N</w:t>
      </w:r>
      <w:r w:rsidR="00072CC4">
        <w:rPr>
          <w:b/>
        </w:rPr>
        <w:t>etworks</w:t>
      </w:r>
    </w:p>
    <w:p w14:paraId="0579AA13" w14:textId="77777777" w:rsidR="00396681" w:rsidRPr="00396681" w:rsidRDefault="00396681" w:rsidP="00396681">
      <w:pPr>
        <w:pStyle w:val="ListParagraph"/>
        <w:spacing w:before="120" w:after="120"/>
        <w:ind w:left="360" w:right="-46"/>
        <w:rPr>
          <w:b/>
          <w:color w:val="000000" w:themeColor="text1"/>
        </w:rPr>
      </w:pPr>
    </w:p>
    <w:p w14:paraId="59BD52A6" w14:textId="77777777" w:rsidR="00396681" w:rsidRPr="00396681" w:rsidRDefault="006B0B7F" w:rsidP="00396681">
      <w:pPr>
        <w:pStyle w:val="ListParagraph"/>
        <w:numPr>
          <w:ilvl w:val="1"/>
          <w:numId w:val="1"/>
        </w:numPr>
        <w:spacing w:before="120" w:after="120"/>
        <w:ind w:right="-46"/>
        <w:rPr>
          <w:b/>
          <w:color w:val="000000" w:themeColor="text1"/>
        </w:rPr>
      </w:pPr>
      <w:r>
        <w:t>The Board shall consider the status of a</w:t>
      </w:r>
      <w:r w:rsidR="00201931" w:rsidRPr="00003FE6">
        <w:t xml:space="preserve">ny </w:t>
      </w:r>
      <w:r w:rsidR="00201931">
        <w:t>Network</w:t>
      </w:r>
      <w:r w:rsidR="00201931" w:rsidRPr="00003FE6">
        <w:t xml:space="preserve"> which has not fulfilled the criteria specified by the Board for two successive years or is in substantial breach of any mandate or rules of </w:t>
      </w:r>
      <w:r w:rsidR="00396681">
        <w:t>Amnesty International UK Section.</w:t>
      </w:r>
    </w:p>
    <w:p w14:paraId="1D8F9410" w14:textId="253DCFEA" w:rsidR="004F36B5" w:rsidRPr="004B27C2" w:rsidRDefault="00003FE6" w:rsidP="004F36B5">
      <w:pPr>
        <w:pStyle w:val="ListParagraph"/>
        <w:numPr>
          <w:ilvl w:val="1"/>
          <w:numId w:val="1"/>
        </w:numPr>
        <w:spacing w:before="120" w:after="120"/>
        <w:ind w:right="-46"/>
        <w:rPr>
          <w:b/>
          <w:color w:val="000000" w:themeColor="text1"/>
        </w:rPr>
      </w:pPr>
      <w:r w:rsidRPr="00003FE6">
        <w:t xml:space="preserve">The Board, acting by resolution passed at a Board meeting by a majority of at least two-thirds of the votes cast, may withdraw the status of Network </w:t>
      </w:r>
      <w:r w:rsidR="00A41C53">
        <w:t>conferred</w:t>
      </w:r>
      <w:r w:rsidR="00A41C53" w:rsidRPr="00003FE6" w:rsidDel="00A41C53">
        <w:t xml:space="preserve"> </w:t>
      </w:r>
      <w:r w:rsidRPr="00003FE6">
        <w:t xml:space="preserve">in accordance with the provisions of Article 16.1. </w:t>
      </w:r>
    </w:p>
    <w:p w14:paraId="4F5E1168" w14:textId="391686D3" w:rsidR="004B27C2" w:rsidRDefault="004B27C2" w:rsidP="004B27C2">
      <w:pPr>
        <w:pStyle w:val="ListParagraph"/>
        <w:spacing w:before="120" w:after="120"/>
        <w:ind w:left="792" w:right="-46"/>
      </w:pPr>
    </w:p>
    <w:p w14:paraId="48A82D84" w14:textId="77777777" w:rsidR="004B27C2" w:rsidRPr="004B27C2" w:rsidRDefault="004B27C2" w:rsidP="004B27C2">
      <w:pPr>
        <w:pStyle w:val="ListParagraph"/>
        <w:spacing w:before="120" w:after="120"/>
        <w:ind w:right="-46"/>
        <w:rPr>
          <w:i/>
        </w:rPr>
      </w:pPr>
      <w:r w:rsidRPr="004B27C2">
        <w:rPr>
          <w:i/>
        </w:rPr>
        <w:t>Nominations for Elected Directors who are nominated by Networks</w:t>
      </w:r>
    </w:p>
    <w:p w14:paraId="303F0D3E" w14:textId="77777777" w:rsidR="004B27C2" w:rsidRPr="004F36B5" w:rsidRDefault="004B27C2" w:rsidP="004B27C2">
      <w:pPr>
        <w:pStyle w:val="ListParagraph"/>
        <w:spacing w:before="120" w:after="120"/>
        <w:ind w:left="792" w:right="-46"/>
        <w:rPr>
          <w:b/>
          <w:color w:val="000000" w:themeColor="text1"/>
        </w:rPr>
      </w:pPr>
    </w:p>
    <w:p w14:paraId="1A3CD671" w14:textId="2E8232D2" w:rsidR="004F36B5" w:rsidRPr="004F36B5" w:rsidRDefault="004F36B5" w:rsidP="004F36B5">
      <w:pPr>
        <w:pStyle w:val="ListParagraph"/>
        <w:numPr>
          <w:ilvl w:val="1"/>
          <w:numId w:val="1"/>
        </w:numPr>
        <w:spacing w:before="120" w:after="120"/>
        <w:ind w:right="-46"/>
        <w:rPr>
          <w:b/>
          <w:color w:val="000000" w:themeColor="text1"/>
        </w:rPr>
      </w:pPr>
      <w:r>
        <w:t>Recognised Networks may nominate any individual member of Amnesty International UK Section, provided that member meets the requirements stated in the Articles</w:t>
      </w:r>
      <w:r w:rsidR="007A2D8F">
        <w:t>.</w:t>
      </w:r>
    </w:p>
    <w:p w14:paraId="318F5F19" w14:textId="690F1F8D" w:rsidR="004F36B5" w:rsidRPr="004F36B5" w:rsidRDefault="004F36B5" w:rsidP="004F36B5">
      <w:pPr>
        <w:pStyle w:val="ListParagraph"/>
        <w:numPr>
          <w:ilvl w:val="1"/>
          <w:numId w:val="1"/>
        </w:numPr>
        <w:spacing w:before="120" w:after="120"/>
        <w:ind w:right="-46"/>
        <w:rPr>
          <w:b/>
          <w:color w:val="000000" w:themeColor="text1"/>
        </w:rPr>
      </w:pPr>
      <w:r>
        <w:t xml:space="preserve">Nominations by a Network shall be done by the </w:t>
      </w:r>
      <w:r w:rsidR="007A2D8F">
        <w:t>Network</w:t>
      </w:r>
      <w:r>
        <w:t xml:space="preserve"> </w:t>
      </w:r>
      <w:proofErr w:type="gramStart"/>
      <w:r>
        <w:t>Committee</w:t>
      </w:r>
      <w:proofErr w:type="gramEnd"/>
      <w:r>
        <w:t xml:space="preserve"> and this shall be recorded on the individual’s nomination form.</w:t>
      </w:r>
    </w:p>
    <w:p w14:paraId="1E036A67" w14:textId="135CF1A3" w:rsidR="004F36B5" w:rsidRPr="004F36B5" w:rsidRDefault="004F36B5" w:rsidP="004F36B5">
      <w:pPr>
        <w:pStyle w:val="ListParagraph"/>
        <w:numPr>
          <w:ilvl w:val="1"/>
          <w:numId w:val="1"/>
        </w:numPr>
        <w:spacing w:before="120" w:after="120"/>
        <w:ind w:right="-46"/>
        <w:rPr>
          <w:b/>
          <w:color w:val="000000" w:themeColor="text1"/>
        </w:rPr>
      </w:pPr>
      <w:r>
        <w:t>Following consultation with AIUK Section’s Nominations Committee, each Network Committee shall establish decision-making procedures to support their nomination process and shall make these available to any member on request.</w:t>
      </w:r>
    </w:p>
    <w:p w14:paraId="6FAEABE4" w14:textId="5D8D4300" w:rsidR="004F36B5" w:rsidRPr="004F36B5" w:rsidRDefault="004F36B5" w:rsidP="004F36B5">
      <w:pPr>
        <w:pStyle w:val="ListParagraph"/>
        <w:numPr>
          <w:ilvl w:val="1"/>
          <w:numId w:val="1"/>
        </w:numPr>
        <w:spacing w:before="120" w:after="120"/>
        <w:ind w:right="-46"/>
        <w:rPr>
          <w:b/>
          <w:color w:val="000000" w:themeColor="text1"/>
        </w:rPr>
      </w:pPr>
      <w:r>
        <w:t>The person nominated does not have to be a member of a Network.</w:t>
      </w:r>
    </w:p>
    <w:p w14:paraId="0F5051E3" w14:textId="7334FC20" w:rsidR="004F36B5" w:rsidRPr="004B27C2" w:rsidRDefault="004F36B5" w:rsidP="004F36B5">
      <w:pPr>
        <w:pStyle w:val="ListParagraph"/>
        <w:numPr>
          <w:ilvl w:val="1"/>
          <w:numId w:val="1"/>
        </w:numPr>
        <w:spacing w:before="120" w:after="120"/>
        <w:ind w:right="-46"/>
        <w:rPr>
          <w:b/>
          <w:color w:val="000000" w:themeColor="text1"/>
        </w:rPr>
      </w:pPr>
      <w:r>
        <w:t>There is no limit on the number of people each Network can nominate.</w:t>
      </w:r>
    </w:p>
    <w:p w14:paraId="52B9574D" w14:textId="77777777" w:rsidR="004B27C2" w:rsidRPr="004F36B5" w:rsidRDefault="004B27C2" w:rsidP="004B27C2">
      <w:pPr>
        <w:pStyle w:val="ListParagraph"/>
        <w:spacing w:before="120" w:after="120"/>
        <w:ind w:left="792" w:right="-46"/>
        <w:rPr>
          <w:b/>
          <w:color w:val="000000" w:themeColor="text1"/>
        </w:rPr>
      </w:pPr>
    </w:p>
    <w:p w14:paraId="6A0B30A6" w14:textId="128E7926" w:rsidR="004F36B5" w:rsidRDefault="004F36B5" w:rsidP="004F36B5">
      <w:pPr>
        <w:pStyle w:val="ListParagraph"/>
        <w:spacing w:before="120" w:after="120"/>
        <w:ind w:right="-46"/>
      </w:pPr>
    </w:p>
    <w:p w14:paraId="690F95C6" w14:textId="77777777" w:rsidR="004B27C2" w:rsidRDefault="004B27C2" w:rsidP="004B27C2">
      <w:pPr>
        <w:pStyle w:val="ListParagraph"/>
        <w:numPr>
          <w:ilvl w:val="0"/>
          <w:numId w:val="1"/>
        </w:numPr>
        <w:spacing w:before="120" w:after="120"/>
        <w:ind w:right="-46"/>
        <w:rPr>
          <w:b/>
          <w:color w:val="000000" w:themeColor="text1"/>
        </w:rPr>
      </w:pPr>
      <w:r w:rsidRPr="004B27C2">
        <w:rPr>
          <w:b/>
          <w:color w:val="000000" w:themeColor="text1"/>
        </w:rPr>
        <w:t xml:space="preserve">  </w:t>
      </w:r>
      <w:r w:rsidR="00AA0249" w:rsidRPr="004B27C2">
        <w:rPr>
          <w:b/>
          <w:color w:val="000000" w:themeColor="text1"/>
        </w:rPr>
        <w:t>Representatives of Affiliate Members, Family Members or Local, Student and Youth Groups.</w:t>
      </w:r>
    </w:p>
    <w:p w14:paraId="2724DEC0" w14:textId="77777777" w:rsidR="004B27C2" w:rsidRDefault="004B27C2" w:rsidP="004B27C2">
      <w:pPr>
        <w:pStyle w:val="ListParagraph"/>
        <w:spacing w:before="120" w:after="120"/>
        <w:ind w:left="360" w:right="-46"/>
        <w:rPr>
          <w:b/>
          <w:color w:val="000000" w:themeColor="text1"/>
        </w:rPr>
      </w:pPr>
    </w:p>
    <w:p w14:paraId="727BAE3A" w14:textId="1E665C7C" w:rsidR="004B27C2" w:rsidRPr="004B27C2" w:rsidRDefault="004B27C2" w:rsidP="004B27C2">
      <w:pPr>
        <w:pStyle w:val="ListParagraph"/>
        <w:numPr>
          <w:ilvl w:val="1"/>
          <w:numId w:val="1"/>
        </w:numPr>
        <w:spacing w:before="120" w:after="120"/>
        <w:ind w:right="-46"/>
        <w:rPr>
          <w:color w:val="000000" w:themeColor="text1"/>
        </w:rPr>
      </w:pPr>
      <w:r w:rsidRPr="004B27C2">
        <w:rPr>
          <w:color w:val="000000" w:themeColor="text1"/>
        </w:rPr>
        <w:t>The Secretary or such other person who has been nominated in writing by the relevant Member</w:t>
      </w:r>
      <w:r>
        <w:rPr>
          <w:color w:val="000000" w:themeColor="text1"/>
        </w:rPr>
        <w:t xml:space="preserve"> of each Affiliate Member, Local Student and Youth Group, whether incorporated or unincorporated shall be the ex-officio Representative of the relevant Member for the time being.</w:t>
      </w:r>
    </w:p>
    <w:p w14:paraId="747A77AB" w14:textId="2023F8A3" w:rsidR="004B27C2" w:rsidRPr="004B27C2" w:rsidRDefault="006B0B7F" w:rsidP="004B27C2">
      <w:pPr>
        <w:pStyle w:val="ListParagraph"/>
        <w:numPr>
          <w:ilvl w:val="1"/>
          <w:numId w:val="1"/>
        </w:numPr>
        <w:spacing w:before="120" w:after="120"/>
        <w:ind w:right="-46"/>
        <w:rPr>
          <w:b/>
          <w:color w:val="000000" w:themeColor="text1"/>
        </w:rPr>
      </w:pPr>
      <w:r w:rsidRPr="004B27C2">
        <w:rPr>
          <w:color w:val="000000" w:themeColor="text1"/>
        </w:rPr>
        <w:t xml:space="preserve">Each </w:t>
      </w:r>
      <w:r w:rsidR="004B27C2">
        <w:rPr>
          <w:color w:val="000000" w:themeColor="text1"/>
        </w:rPr>
        <w:t xml:space="preserve">Family </w:t>
      </w:r>
      <w:r w:rsidR="007A2D8F">
        <w:rPr>
          <w:color w:val="000000" w:themeColor="text1"/>
        </w:rPr>
        <w:t xml:space="preserve">Member </w:t>
      </w:r>
      <w:r w:rsidR="007A2D8F" w:rsidRPr="004B27C2">
        <w:rPr>
          <w:color w:val="000000" w:themeColor="text1"/>
        </w:rPr>
        <w:t>shall</w:t>
      </w:r>
      <w:r w:rsidRPr="004B27C2">
        <w:rPr>
          <w:color w:val="000000" w:themeColor="text1"/>
        </w:rPr>
        <w:t xml:space="preserve"> nominate in writing one individual who shall be the </w:t>
      </w:r>
      <w:r w:rsidR="00AA0249" w:rsidRPr="004B27C2">
        <w:rPr>
          <w:color w:val="000000" w:themeColor="text1"/>
        </w:rPr>
        <w:t xml:space="preserve">Representative of the relevant </w:t>
      </w:r>
      <w:r w:rsidR="004B27C2">
        <w:rPr>
          <w:color w:val="000000" w:themeColor="text1"/>
        </w:rPr>
        <w:t xml:space="preserve">Family </w:t>
      </w:r>
      <w:r w:rsidR="00AA0249" w:rsidRPr="004B27C2">
        <w:rPr>
          <w:color w:val="000000" w:themeColor="text1"/>
        </w:rPr>
        <w:t xml:space="preserve">Member. </w:t>
      </w:r>
    </w:p>
    <w:p w14:paraId="704A8528" w14:textId="77777777" w:rsidR="004B27C2" w:rsidRPr="004B27C2" w:rsidRDefault="00AA0249" w:rsidP="004B27C2">
      <w:pPr>
        <w:pStyle w:val="ListParagraph"/>
        <w:numPr>
          <w:ilvl w:val="1"/>
          <w:numId w:val="1"/>
        </w:numPr>
        <w:spacing w:before="120" w:after="120"/>
        <w:ind w:right="-46"/>
        <w:rPr>
          <w:b/>
          <w:color w:val="000000" w:themeColor="text1"/>
        </w:rPr>
      </w:pPr>
      <w:r w:rsidRPr="004B27C2">
        <w:rPr>
          <w:color w:val="000000" w:themeColor="text1"/>
        </w:rPr>
        <w:lastRenderedPageBreak/>
        <w:t xml:space="preserve">The Company Secretary shall be advised at the Office of the name and address of any Representative in writing. A Member may change its Representative at any time by written notice to the Company Secretary at the Office. </w:t>
      </w:r>
    </w:p>
    <w:p w14:paraId="58652BC6" w14:textId="1FC55494" w:rsidR="00AA0249" w:rsidRPr="004B27C2" w:rsidRDefault="00AA0249" w:rsidP="004B27C2">
      <w:pPr>
        <w:pStyle w:val="ListParagraph"/>
        <w:numPr>
          <w:ilvl w:val="1"/>
          <w:numId w:val="1"/>
        </w:numPr>
        <w:spacing w:before="120" w:after="120"/>
        <w:ind w:right="-46"/>
        <w:rPr>
          <w:b/>
          <w:color w:val="000000" w:themeColor="text1"/>
        </w:rPr>
      </w:pPr>
      <w:r w:rsidRPr="004B27C2">
        <w:rPr>
          <w:color w:val="000000" w:themeColor="text1"/>
        </w:rPr>
        <w:t xml:space="preserve">If a Representative is unable to attend a </w:t>
      </w:r>
      <w:r w:rsidR="004B27C2" w:rsidRPr="004B27C2">
        <w:rPr>
          <w:color w:val="000000" w:themeColor="text1"/>
        </w:rPr>
        <w:t xml:space="preserve">General </w:t>
      </w:r>
      <w:r w:rsidRPr="004B27C2">
        <w:rPr>
          <w:color w:val="000000" w:themeColor="text1"/>
        </w:rPr>
        <w:t xml:space="preserve">meeting of </w:t>
      </w:r>
      <w:r w:rsidR="004B27C2" w:rsidRPr="004B27C2">
        <w:rPr>
          <w:color w:val="000000" w:themeColor="text1"/>
        </w:rPr>
        <w:t xml:space="preserve">Amnesty International UK Section, </w:t>
      </w:r>
      <w:r w:rsidRPr="004B27C2">
        <w:rPr>
          <w:color w:val="000000" w:themeColor="text1"/>
        </w:rPr>
        <w:t xml:space="preserve">the relevant Member shall be entitled to send an individual who shall be called an alternate and who shall have all the rights and duties of that Representative for the duration of the </w:t>
      </w:r>
      <w:r w:rsidR="004B27C2" w:rsidRPr="004B27C2">
        <w:rPr>
          <w:color w:val="000000" w:themeColor="text1"/>
        </w:rPr>
        <w:t>General meeting</w:t>
      </w:r>
      <w:r w:rsidRPr="004B27C2">
        <w:rPr>
          <w:color w:val="000000" w:themeColor="text1"/>
        </w:rPr>
        <w:t xml:space="preserve">. The Representative shall provide their alternate with a letter of authorisation which the alternate shall produce upon request. </w:t>
      </w:r>
    </w:p>
    <w:p w14:paraId="401022E4" w14:textId="77777777" w:rsidR="004B27C2" w:rsidRPr="00AA0249" w:rsidRDefault="004B27C2" w:rsidP="004B27C2">
      <w:pPr>
        <w:pStyle w:val="ListParagraph"/>
        <w:spacing w:before="120" w:after="120"/>
        <w:ind w:left="851" w:right="-45"/>
        <w:contextualSpacing w:val="0"/>
        <w:rPr>
          <w:color w:val="000000" w:themeColor="text1"/>
        </w:rPr>
      </w:pPr>
    </w:p>
    <w:p w14:paraId="58917E97" w14:textId="1E2DBADE" w:rsidR="003B5F2E" w:rsidRPr="007A2D8F" w:rsidRDefault="003B5F2E" w:rsidP="007A2D8F">
      <w:pPr>
        <w:pStyle w:val="ListParagraph"/>
        <w:numPr>
          <w:ilvl w:val="0"/>
          <w:numId w:val="1"/>
        </w:numPr>
        <w:spacing w:before="120" w:after="120"/>
        <w:ind w:right="-46"/>
        <w:rPr>
          <w:color w:val="FF0000"/>
        </w:rPr>
      </w:pPr>
      <w:r w:rsidRPr="007A2D8F">
        <w:rPr>
          <w:b/>
        </w:rPr>
        <w:t xml:space="preserve">Standing Orders Committee </w:t>
      </w:r>
    </w:p>
    <w:p w14:paraId="0DD1D622" w14:textId="77777777" w:rsidR="003B5F2E" w:rsidRPr="003B5F2E" w:rsidRDefault="003B5F2E" w:rsidP="003B5F2E">
      <w:pPr>
        <w:pStyle w:val="ListParagraph"/>
        <w:ind w:left="360"/>
      </w:pPr>
    </w:p>
    <w:p w14:paraId="288BC015" w14:textId="7CAC3B96" w:rsidR="003B5F2E" w:rsidRPr="003B5F2E" w:rsidRDefault="003B5F2E" w:rsidP="003B5F2E">
      <w:pPr>
        <w:pStyle w:val="ListParagraph"/>
        <w:numPr>
          <w:ilvl w:val="1"/>
          <w:numId w:val="1"/>
        </w:numPr>
      </w:pPr>
      <w:r w:rsidRPr="003B5F2E">
        <w:rPr>
          <w:color w:val="000000" w:themeColor="text1"/>
        </w:rPr>
        <w:t>The Standing Orders Committee’s role is to facilitate the smoo</w:t>
      </w:r>
      <w:r>
        <w:rPr>
          <w:color w:val="000000" w:themeColor="text1"/>
        </w:rPr>
        <w:t xml:space="preserve">th running of general meetings </w:t>
      </w:r>
      <w:r w:rsidRPr="003B5F2E">
        <w:rPr>
          <w:color w:val="000000" w:themeColor="text1"/>
        </w:rPr>
        <w:t>by recommending to the AGM Chair, and the meeting more generally, the procedures it considers desirab</w:t>
      </w:r>
      <w:r>
        <w:rPr>
          <w:color w:val="000000" w:themeColor="text1"/>
        </w:rPr>
        <w:t>le for the despatch of business and to advise the AGM Chair on the interpretation of AGM Standing Orders and applicable Rules.</w:t>
      </w:r>
    </w:p>
    <w:p w14:paraId="7676ED4A" w14:textId="4422CDB9" w:rsidR="003B5F2E" w:rsidRDefault="003B5F2E" w:rsidP="003B5F2E">
      <w:pPr>
        <w:pStyle w:val="ListParagraph"/>
        <w:numPr>
          <w:ilvl w:val="1"/>
          <w:numId w:val="1"/>
        </w:numPr>
      </w:pPr>
      <w:r>
        <w:t>Members of the Stan</w:t>
      </w:r>
      <w:r w:rsidR="007A2D8F">
        <w:t>ding Orders Committee serve from th</w:t>
      </w:r>
      <w:r>
        <w:t>e end of the AGM at which they were elected and must retire at the end of the third AGM following their election, unless re-elected at that AGM.</w:t>
      </w:r>
    </w:p>
    <w:p w14:paraId="6E2DE343" w14:textId="6E30BCDE" w:rsidR="003B5F2E" w:rsidRDefault="003B5F2E" w:rsidP="003B5F2E">
      <w:pPr>
        <w:pStyle w:val="ListParagraph"/>
        <w:numPr>
          <w:ilvl w:val="1"/>
          <w:numId w:val="1"/>
        </w:numPr>
      </w:pPr>
      <w:r>
        <w:t xml:space="preserve">No member of the Standing Orders Committee may serve for more than six successive AGMs before taking a break of not less </w:t>
      </w:r>
      <w:r w:rsidR="007A2D8F">
        <w:t>than</w:t>
      </w:r>
      <w:r>
        <w:t xml:space="preserve"> the following AGM.</w:t>
      </w:r>
    </w:p>
    <w:p w14:paraId="654C9AB1" w14:textId="25F98E89" w:rsidR="003B5F2E" w:rsidRDefault="003B5F2E" w:rsidP="003B5F2E">
      <w:pPr>
        <w:pStyle w:val="ListParagraph"/>
        <w:numPr>
          <w:ilvl w:val="1"/>
          <w:numId w:val="1"/>
        </w:numPr>
      </w:pPr>
      <w:r>
        <w:t xml:space="preserve">At least one member of the Standing Orders Committee must retire each year.  Where no member is </w:t>
      </w:r>
      <w:r w:rsidR="00A213DA">
        <w:t>required</w:t>
      </w:r>
      <w:r>
        <w:t xml:space="preserve"> to automatically retire due to </w:t>
      </w:r>
      <w:r w:rsidR="007A2D8F">
        <w:t>completion of</w:t>
      </w:r>
      <w:r>
        <w:t xml:space="preserve"> a full term or due to having reached the maximum term limit, the SOC members shall decide which of them shall retire by mutual agreement or, failing that, by lot.</w:t>
      </w:r>
    </w:p>
    <w:p w14:paraId="39C9F633" w14:textId="4C67EC5E" w:rsidR="003B5F2E" w:rsidRDefault="003B5F2E" w:rsidP="003B5F2E">
      <w:pPr>
        <w:pStyle w:val="ListParagraph"/>
        <w:numPr>
          <w:ilvl w:val="1"/>
          <w:numId w:val="1"/>
        </w:numPr>
      </w:pPr>
      <w:r>
        <w:t>The following skills and experience are considered desirable to the role:</w:t>
      </w:r>
    </w:p>
    <w:p w14:paraId="49E3B3DB" w14:textId="229A0D18" w:rsidR="003B5F2E" w:rsidRDefault="007A2D8F" w:rsidP="003B5F2E">
      <w:pPr>
        <w:pStyle w:val="ListParagraph"/>
        <w:numPr>
          <w:ilvl w:val="2"/>
          <w:numId w:val="1"/>
        </w:numPr>
      </w:pPr>
      <w:r>
        <w:t xml:space="preserve"> </w:t>
      </w:r>
      <w:r w:rsidR="003B5F2E">
        <w:t xml:space="preserve">Ability to advise on procedural and technical matters relevant to the running of </w:t>
      </w:r>
      <w:proofErr w:type="gramStart"/>
      <w:r w:rsidR="003B5F2E">
        <w:t>meetings;</w:t>
      </w:r>
      <w:proofErr w:type="gramEnd"/>
    </w:p>
    <w:p w14:paraId="6E613404" w14:textId="287F9DA8" w:rsidR="003B5F2E" w:rsidRDefault="007A2D8F" w:rsidP="003B5F2E">
      <w:pPr>
        <w:pStyle w:val="ListParagraph"/>
        <w:numPr>
          <w:ilvl w:val="2"/>
          <w:numId w:val="1"/>
        </w:numPr>
      </w:pPr>
      <w:r>
        <w:t xml:space="preserve"> </w:t>
      </w:r>
      <w:r w:rsidR="003B5F2E">
        <w:t xml:space="preserve">Experience of participating </w:t>
      </w:r>
      <w:r>
        <w:t>in and</w:t>
      </w:r>
      <w:r w:rsidR="003B5F2E">
        <w:t xml:space="preserve"> advising membership </w:t>
      </w:r>
      <w:proofErr w:type="gramStart"/>
      <w:r w:rsidR="003B5F2E">
        <w:t>bodies;</w:t>
      </w:r>
      <w:proofErr w:type="gramEnd"/>
    </w:p>
    <w:p w14:paraId="1C96D138" w14:textId="08647562" w:rsidR="003B5F2E" w:rsidRDefault="007A2D8F" w:rsidP="003B5F2E">
      <w:pPr>
        <w:pStyle w:val="ListParagraph"/>
        <w:numPr>
          <w:ilvl w:val="2"/>
          <w:numId w:val="1"/>
        </w:numPr>
      </w:pPr>
      <w:r>
        <w:t xml:space="preserve"> </w:t>
      </w:r>
      <w:r w:rsidR="003B5F2E">
        <w:t>Experience of participating in Amnesty International UK Section General Meetings</w:t>
      </w:r>
    </w:p>
    <w:p w14:paraId="53F4325B" w14:textId="1C93DD27" w:rsidR="003B5F2E" w:rsidRDefault="003B5F2E" w:rsidP="003B5F2E">
      <w:pPr>
        <w:pStyle w:val="ListParagraph"/>
        <w:numPr>
          <w:ilvl w:val="1"/>
          <w:numId w:val="1"/>
        </w:numPr>
      </w:pPr>
      <w:r>
        <w:t>The</w:t>
      </w:r>
      <w:r w:rsidR="00054D89">
        <w:t>s</w:t>
      </w:r>
      <w:r>
        <w:t xml:space="preserve">e desirable skills and experience shall be referenced in any call for </w:t>
      </w:r>
      <w:r w:rsidR="00A213DA">
        <w:t>nominations</w:t>
      </w:r>
      <w:r>
        <w:t>, together with any other skills thought to be desirable by the AGM Chair.</w:t>
      </w:r>
    </w:p>
    <w:p w14:paraId="508DEE20" w14:textId="2B60953E" w:rsidR="003B5F2E" w:rsidRDefault="003B5F2E" w:rsidP="003B5F2E">
      <w:pPr>
        <w:pStyle w:val="ListParagraph"/>
        <w:numPr>
          <w:ilvl w:val="1"/>
          <w:numId w:val="1"/>
        </w:numPr>
      </w:pPr>
      <w:r>
        <w:t>In carrying out its work the Standing Orders Committee shall have access to legal advice and support as required.</w:t>
      </w:r>
    </w:p>
    <w:p w14:paraId="334A436A" w14:textId="77777777" w:rsidR="003B5F2E" w:rsidRPr="003B5F2E" w:rsidRDefault="003B5F2E" w:rsidP="003B5F2E">
      <w:pPr>
        <w:pStyle w:val="ListParagraph"/>
        <w:ind w:left="792"/>
      </w:pPr>
    </w:p>
    <w:p w14:paraId="1D02797D" w14:textId="566CFA87" w:rsidR="00A213DA" w:rsidRPr="00072CC4" w:rsidRDefault="00BA2B47" w:rsidP="00A213DA">
      <w:pPr>
        <w:pStyle w:val="ListParagraph"/>
        <w:numPr>
          <w:ilvl w:val="0"/>
          <w:numId w:val="1"/>
        </w:numPr>
        <w:spacing w:before="120" w:after="120"/>
        <w:ind w:right="-46"/>
      </w:pPr>
      <w:r w:rsidRPr="00A213DA">
        <w:rPr>
          <w:b/>
        </w:rPr>
        <w:t xml:space="preserve">Members’ and Directors’ Appeals Committee </w:t>
      </w:r>
    </w:p>
    <w:p w14:paraId="2DD3E10A" w14:textId="77777777" w:rsidR="00072CC4" w:rsidRPr="00A213DA" w:rsidRDefault="00072CC4" w:rsidP="00072CC4">
      <w:pPr>
        <w:pStyle w:val="ListParagraph"/>
        <w:spacing w:before="120" w:after="120"/>
        <w:ind w:left="360" w:right="-46"/>
      </w:pPr>
    </w:p>
    <w:p w14:paraId="68319801" w14:textId="716D4702" w:rsidR="00A96F6F" w:rsidRDefault="00775256" w:rsidP="00A213DA">
      <w:pPr>
        <w:pStyle w:val="ListParagraph"/>
        <w:numPr>
          <w:ilvl w:val="1"/>
          <w:numId w:val="1"/>
        </w:numPr>
        <w:spacing w:before="120" w:after="120"/>
        <w:ind w:right="-46"/>
      </w:pPr>
      <w:r w:rsidRPr="00525465">
        <w:t xml:space="preserve">The </w:t>
      </w:r>
      <w:r w:rsidR="00A213DA">
        <w:t xml:space="preserve">Members’ and Directors’ Appeals </w:t>
      </w:r>
      <w:r w:rsidRPr="00525465">
        <w:t>Committee shall elect a Chair from amongst their</w:t>
      </w:r>
      <w:r w:rsidR="00A96F6F" w:rsidRPr="00525465">
        <w:t xml:space="preserve"> </w:t>
      </w:r>
      <w:r w:rsidRPr="00525465">
        <w:t xml:space="preserve">own number. </w:t>
      </w:r>
    </w:p>
    <w:p w14:paraId="6217A29B" w14:textId="4CA974E5" w:rsidR="00A213DA" w:rsidRDefault="00A213DA" w:rsidP="00A213DA">
      <w:pPr>
        <w:pStyle w:val="ListParagraph"/>
        <w:numPr>
          <w:ilvl w:val="1"/>
          <w:numId w:val="1"/>
        </w:numPr>
        <w:spacing w:before="120" w:after="120"/>
        <w:ind w:right="-46"/>
      </w:pPr>
      <w:r>
        <w:t>The Members’ and Directors’ Appeals Committee shall have access to legal advice and support as required.</w:t>
      </w:r>
    </w:p>
    <w:p w14:paraId="353A5D4B" w14:textId="77777777" w:rsidR="00A213DA" w:rsidRDefault="00A213DA" w:rsidP="00A213DA">
      <w:pPr>
        <w:pStyle w:val="ListParagraph"/>
        <w:numPr>
          <w:ilvl w:val="1"/>
          <w:numId w:val="1"/>
        </w:numPr>
        <w:spacing w:before="120" w:after="120"/>
        <w:ind w:right="-46"/>
      </w:pPr>
      <w:r>
        <w:t xml:space="preserve">The Members’ and Directors’ Appeals Committee shall draw up procedures for considering </w:t>
      </w:r>
      <w:proofErr w:type="gramStart"/>
      <w:r>
        <w:t>appeals, and</w:t>
      </w:r>
      <w:proofErr w:type="gramEnd"/>
      <w:r>
        <w:t xml:space="preserve"> make these procedures available to members on request.</w:t>
      </w:r>
    </w:p>
    <w:p w14:paraId="3CFFA159" w14:textId="77777777" w:rsidR="00A213DA" w:rsidRDefault="008B5869" w:rsidP="00A213DA">
      <w:pPr>
        <w:pStyle w:val="ListParagraph"/>
        <w:numPr>
          <w:ilvl w:val="1"/>
          <w:numId w:val="1"/>
        </w:numPr>
        <w:spacing w:before="120" w:after="120"/>
        <w:ind w:right="-46"/>
      </w:pPr>
      <w:r w:rsidRPr="00525465">
        <w:t xml:space="preserve">The following skills and experience are considered important to the </w:t>
      </w:r>
      <w:r w:rsidR="00A213DA">
        <w:t>role:</w:t>
      </w:r>
    </w:p>
    <w:p w14:paraId="52C60226" w14:textId="416A138B" w:rsidR="00A213DA" w:rsidRDefault="007A2D8F" w:rsidP="00A213DA">
      <w:pPr>
        <w:pStyle w:val="ListParagraph"/>
        <w:numPr>
          <w:ilvl w:val="2"/>
          <w:numId w:val="1"/>
        </w:numPr>
        <w:spacing w:before="120" w:after="120"/>
        <w:ind w:right="-46"/>
      </w:pPr>
      <w:r>
        <w:lastRenderedPageBreak/>
        <w:t xml:space="preserve"> </w:t>
      </w:r>
      <w:r w:rsidR="008B5869" w:rsidRPr="00525465">
        <w:t xml:space="preserve">Experience of considering appeals, </w:t>
      </w:r>
      <w:proofErr w:type="gramStart"/>
      <w:r w:rsidR="008B5869" w:rsidRPr="00525465">
        <w:t>tribunal</w:t>
      </w:r>
      <w:proofErr w:type="gramEnd"/>
      <w:r w:rsidR="008B5869" w:rsidRPr="00525465">
        <w:t xml:space="preserve"> or equivalent hearings</w:t>
      </w:r>
    </w:p>
    <w:p w14:paraId="60EA2F84" w14:textId="6716BC84" w:rsidR="00A213DA" w:rsidRDefault="007A2D8F" w:rsidP="00A213DA">
      <w:pPr>
        <w:pStyle w:val="ListParagraph"/>
        <w:numPr>
          <w:ilvl w:val="2"/>
          <w:numId w:val="1"/>
        </w:numPr>
        <w:spacing w:before="120" w:after="120"/>
        <w:ind w:right="-46"/>
      </w:pPr>
      <w:r>
        <w:t xml:space="preserve"> </w:t>
      </w:r>
      <w:r w:rsidR="00775256" w:rsidRPr="00525465">
        <w:t xml:space="preserve">Ability to review evidence and </w:t>
      </w:r>
      <w:r w:rsidR="005B4E0F">
        <w:t xml:space="preserve">casework or similar </w:t>
      </w:r>
      <w:r w:rsidR="00775256" w:rsidRPr="00525465">
        <w:t>material</w:t>
      </w:r>
    </w:p>
    <w:p w14:paraId="276D9B96" w14:textId="3B55D6C6" w:rsidR="00A96F6F" w:rsidRDefault="007A2D8F" w:rsidP="00A213DA">
      <w:pPr>
        <w:pStyle w:val="ListParagraph"/>
        <w:numPr>
          <w:ilvl w:val="2"/>
          <w:numId w:val="1"/>
        </w:numPr>
        <w:spacing w:before="120" w:after="120"/>
        <w:ind w:right="-46"/>
      </w:pPr>
      <w:r>
        <w:t xml:space="preserve"> </w:t>
      </w:r>
      <w:r w:rsidR="008B5869" w:rsidRPr="00525465">
        <w:t>Experience of governance of membership bodies</w:t>
      </w:r>
      <w:r w:rsidR="0048556D">
        <w:t xml:space="preserve"> </w:t>
      </w:r>
    </w:p>
    <w:p w14:paraId="06010B50" w14:textId="51C2C649" w:rsidR="00072CC4" w:rsidRDefault="00A213DA" w:rsidP="00072CC4">
      <w:pPr>
        <w:pStyle w:val="ListParagraph"/>
        <w:numPr>
          <w:ilvl w:val="1"/>
          <w:numId w:val="1"/>
        </w:numPr>
        <w:spacing w:before="120" w:after="120"/>
        <w:ind w:right="-46"/>
      </w:pPr>
      <w:r>
        <w:t>These desirable skills and experience shall be referenced in any call for nominations, together with any other skills thought to be desirable by the Board.</w:t>
      </w:r>
    </w:p>
    <w:p w14:paraId="383DC34D" w14:textId="77777777" w:rsidR="00072CC4" w:rsidRDefault="00072CC4" w:rsidP="00072CC4">
      <w:pPr>
        <w:pStyle w:val="ListParagraph"/>
        <w:spacing w:before="120" w:after="120"/>
        <w:ind w:left="792" w:right="-46"/>
      </w:pPr>
    </w:p>
    <w:p w14:paraId="079885D9" w14:textId="6F826727" w:rsidR="00072CC4" w:rsidRDefault="00072CC4" w:rsidP="00072CC4">
      <w:pPr>
        <w:pStyle w:val="ListParagraph"/>
        <w:numPr>
          <w:ilvl w:val="0"/>
          <w:numId w:val="1"/>
        </w:numPr>
        <w:spacing w:before="120" w:after="120"/>
        <w:ind w:right="-46"/>
        <w:rPr>
          <w:b/>
        </w:rPr>
      </w:pPr>
      <w:r w:rsidRPr="00072CC4">
        <w:rPr>
          <w:b/>
        </w:rPr>
        <w:t>Returning Officer</w:t>
      </w:r>
    </w:p>
    <w:p w14:paraId="78BC39B4" w14:textId="77777777" w:rsidR="00072CC4" w:rsidRPr="00072CC4" w:rsidRDefault="00072CC4" w:rsidP="00072CC4">
      <w:pPr>
        <w:pStyle w:val="ListParagraph"/>
        <w:spacing w:before="120" w:after="120"/>
        <w:ind w:left="360" w:right="-46"/>
        <w:rPr>
          <w:b/>
        </w:rPr>
      </w:pPr>
    </w:p>
    <w:p w14:paraId="57CFA7E9" w14:textId="09F11B65" w:rsidR="00072CC4" w:rsidRDefault="00072CC4" w:rsidP="00072CC4">
      <w:pPr>
        <w:pStyle w:val="ListParagraph"/>
        <w:numPr>
          <w:ilvl w:val="1"/>
          <w:numId w:val="1"/>
        </w:numPr>
        <w:spacing w:before="120" w:after="120"/>
        <w:ind w:right="-46"/>
      </w:pPr>
      <w:r>
        <w:t xml:space="preserve">The term of office </w:t>
      </w:r>
      <w:r w:rsidR="007A2D8F">
        <w:t>for</w:t>
      </w:r>
      <w:r>
        <w:t xml:space="preserve"> the returning Officer shall be three years but no Returning Officer shall serve more than six consecutive years without a break of at least one year.</w:t>
      </w:r>
    </w:p>
    <w:p w14:paraId="5875067A" w14:textId="5FEC5AD5" w:rsidR="00072CC4" w:rsidRDefault="00072CC4" w:rsidP="00072CC4">
      <w:pPr>
        <w:pStyle w:val="ListParagraph"/>
        <w:numPr>
          <w:ilvl w:val="1"/>
          <w:numId w:val="1"/>
        </w:numPr>
        <w:spacing w:before="120" w:after="120"/>
        <w:ind w:right="-46"/>
      </w:pPr>
      <w:r>
        <w:t>The Returning Officer’s duties shall be:</w:t>
      </w:r>
    </w:p>
    <w:p w14:paraId="09658E00" w14:textId="594E50AB" w:rsidR="00072CC4" w:rsidRDefault="007A2D8F" w:rsidP="00072CC4">
      <w:pPr>
        <w:pStyle w:val="ListParagraph"/>
        <w:numPr>
          <w:ilvl w:val="2"/>
          <w:numId w:val="1"/>
        </w:numPr>
        <w:spacing w:before="120" w:after="120"/>
        <w:ind w:right="-46"/>
      </w:pPr>
      <w:r>
        <w:t xml:space="preserve"> </w:t>
      </w:r>
      <w:r w:rsidR="00072CC4">
        <w:t xml:space="preserve">Those duties set out in the </w:t>
      </w:r>
      <w:proofErr w:type="gramStart"/>
      <w:r w:rsidR="00072CC4">
        <w:t>Articles;</w:t>
      </w:r>
      <w:proofErr w:type="gramEnd"/>
    </w:p>
    <w:p w14:paraId="763C9283" w14:textId="1C76D80B" w:rsidR="00072CC4" w:rsidRDefault="007A2D8F" w:rsidP="00072CC4">
      <w:pPr>
        <w:pStyle w:val="ListParagraph"/>
        <w:numPr>
          <w:ilvl w:val="2"/>
          <w:numId w:val="1"/>
        </w:numPr>
        <w:spacing w:before="120" w:after="120"/>
        <w:ind w:right="-46"/>
      </w:pPr>
      <w:r>
        <w:t xml:space="preserve"> </w:t>
      </w:r>
      <w:r w:rsidR="00072CC4">
        <w:t>Conducting the election of Board Chair, Board Vice-Chair</w:t>
      </w:r>
      <w:r w:rsidR="00B31C86">
        <w:t>s</w:t>
      </w:r>
      <w:r w:rsidR="00072CC4">
        <w:t xml:space="preserve"> and in accordance with any Board Standing Orders that may be in effect at the time;</w:t>
      </w:r>
    </w:p>
    <w:p w14:paraId="3187C46B" w14:textId="78410FF2" w:rsidR="00072CC4" w:rsidRDefault="007A2D8F" w:rsidP="00072CC4">
      <w:pPr>
        <w:pStyle w:val="ListParagraph"/>
        <w:numPr>
          <w:ilvl w:val="2"/>
          <w:numId w:val="1"/>
        </w:numPr>
        <w:spacing w:before="120" w:after="120"/>
        <w:ind w:right="-46"/>
      </w:pPr>
      <w:r>
        <w:t xml:space="preserve"> </w:t>
      </w:r>
      <w:r w:rsidR="00072CC4">
        <w:t>Providing support and advice to the AGM Chair on the conduct of polls, ballots and other votes that may need to be taken at the AGM.</w:t>
      </w:r>
    </w:p>
    <w:p w14:paraId="2BE83EF0" w14:textId="072A50A0" w:rsidR="00072CC4" w:rsidRDefault="00072CC4" w:rsidP="00072CC4">
      <w:pPr>
        <w:pStyle w:val="ListParagraph"/>
        <w:numPr>
          <w:ilvl w:val="1"/>
          <w:numId w:val="1"/>
        </w:numPr>
        <w:spacing w:before="120" w:after="120"/>
        <w:ind w:right="-46"/>
      </w:pPr>
      <w:r>
        <w:t xml:space="preserve">In setting the timetable for nominations for posts and committees to be elected by the AGM, the Returning officer shall, where </w:t>
      </w:r>
      <w:r w:rsidR="007A2D8F">
        <w:t>possible ensure</w:t>
      </w:r>
      <w:r>
        <w:t xml:space="preserve"> that nominations are received in time to be published for Members at least 45 clear days in advance of the AGM.  Should there be insufficient nomination</w:t>
      </w:r>
      <w:r w:rsidR="007A2D8F">
        <w:t>s</w:t>
      </w:r>
      <w:r>
        <w:t xml:space="preserve"> to fill the vacant posts, the Returning Officer shall make a further call for nominations at the Annual General Meeting.</w:t>
      </w:r>
    </w:p>
    <w:p w14:paraId="5A0A79F4" w14:textId="2C03E7A6" w:rsidR="00072CC4" w:rsidRDefault="00072CC4" w:rsidP="00072CC4">
      <w:pPr>
        <w:pStyle w:val="ListParagraph"/>
        <w:numPr>
          <w:ilvl w:val="1"/>
          <w:numId w:val="1"/>
        </w:numPr>
        <w:spacing w:before="120" w:after="120"/>
        <w:ind w:right="-46"/>
      </w:pPr>
      <w:r>
        <w:t xml:space="preserve">Except where otherwise provided for in the Articles or these Rules, the Returning Officer may prescribe in writing such processes as deemed appropriate </w:t>
      </w:r>
      <w:r w:rsidR="007A2D8F">
        <w:t>to</w:t>
      </w:r>
      <w:r>
        <w:t xml:space="preserve"> produce a fair and transparent election and shall make these available to candidates and electors on request.  </w:t>
      </w:r>
    </w:p>
    <w:p w14:paraId="74784235" w14:textId="54BD9A15" w:rsidR="00072CC4" w:rsidRDefault="00072CC4" w:rsidP="00072CC4">
      <w:pPr>
        <w:pStyle w:val="ListParagraph"/>
        <w:numPr>
          <w:ilvl w:val="1"/>
          <w:numId w:val="1"/>
        </w:numPr>
        <w:spacing w:before="120" w:after="120"/>
        <w:ind w:right="-46"/>
      </w:pPr>
      <w:r>
        <w:t xml:space="preserve">In carrying out their work the Returning Officer shall have access to legal advice, </w:t>
      </w:r>
      <w:r w:rsidR="007A2D8F">
        <w:t>third</w:t>
      </w:r>
      <w:r>
        <w:t xml:space="preserve"> party electoral and ballot services and other support as required, subject to any budget agreed with the Board.</w:t>
      </w:r>
    </w:p>
    <w:p w14:paraId="014C148D" w14:textId="0939CBB2" w:rsidR="007A2D8F" w:rsidRDefault="007A2D8F" w:rsidP="00072CC4">
      <w:pPr>
        <w:widowControl w:val="0"/>
        <w:spacing w:before="120" w:after="120" w:line="259" w:lineRule="auto"/>
        <w:ind w:left="851" w:right="-46"/>
      </w:pPr>
    </w:p>
    <w:p w14:paraId="1A5CF76C" w14:textId="0ED93D19" w:rsidR="00003FE6" w:rsidRPr="004973D4" w:rsidRDefault="00003FE6" w:rsidP="00072CC4">
      <w:pPr>
        <w:widowControl w:val="0"/>
        <w:spacing w:before="120" w:after="120" w:line="259" w:lineRule="auto"/>
        <w:ind w:left="851" w:right="-46"/>
      </w:pPr>
    </w:p>
    <w:sectPr w:rsidR="00003FE6" w:rsidRPr="004973D4" w:rsidSect="002D6394">
      <w:footerReference w:type="default" r:id="rId8"/>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EABF0" w14:textId="77777777" w:rsidR="00452C6A" w:rsidRDefault="00452C6A" w:rsidP="002015F1">
      <w:pPr>
        <w:spacing w:after="0" w:line="240" w:lineRule="auto"/>
      </w:pPr>
      <w:r>
        <w:separator/>
      </w:r>
    </w:p>
  </w:endnote>
  <w:endnote w:type="continuationSeparator" w:id="0">
    <w:p w14:paraId="7F6204E6" w14:textId="77777777" w:rsidR="00452C6A" w:rsidRDefault="00452C6A" w:rsidP="00201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6E1B7" w14:textId="77777777" w:rsidR="00DB2756" w:rsidRDefault="00DB2756">
    <w:pPr>
      <w:pStyle w:val="Footer"/>
      <w:rPr>
        <w:i/>
        <w:sz w:val="18"/>
      </w:rPr>
    </w:pPr>
  </w:p>
  <w:p w14:paraId="6866E4A3" w14:textId="6D9F406F" w:rsidR="00DB2756" w:rsidRPr="00DB2756" w:rsidRDefault="00DB2756">
    <w:pPr>
      <w:pStyle w:val="Footer"/>
    </w:pPr>
    <w:r>
      <w:t xml:space="preserve">Page </w:t>
    </w:r>
    <w:r>
      <w:fldChar w:fldCharType="begin"/>
    </w:r>
    <w:r>
      <w:instrText xml:space="preserve"> PAGE   \* MERGEFORMAT </w:instrText>
    </w:r>
    <w:r>
      <w:fldChar w:fldCharType="separate"/>
    </w:r>
    <w:r w:rsidR="007A2D8F">
      <w:rPr>
        <w:noProof/>
      </w:rPr>
      <w:t>6</w:t>
    </w:r>
    <w:r>
      <w:fldChar w:fldCharType="end"/>
    </w:r>
    <w:r>
      <w:t xml:space="preserve"> of </w:t>
    </w:r>
    <w:fldSimple w:instr=" NUMPAGES   \* MERGEFORMAT ">
      <w:r w:rsidR="007A2D8F">
        <w:rPr>
          <w:noProof/>
        </w:rPr>
        <w:t>6</w:t>
      </w:r>
    </w:fldSimple>
  </w:p>
  <w:p w14:paraId="0F17CD88" w14:textId="77777777" w:rsidR="00DB2756" w:rsidRDefault="00DB2756">
    <w:pPr>
      <w:pStyle w:val="Footer"/>
      <w:rPr>
        <w:i/>
        <w:sz w:val="18"/>
      </w:rPr>
    </w:pPr>
  </w:p>
  <w:p w14:paraId="4FE34DF5" w14:textId="70DFE46C" w:rsidR="00886016" w:rsidRPr="00886016" w:rsidRDefault="00886016">
    <w:pPr>
      <w:pStyle w:val="Footer"/>
      <w:rPr>
        <w:i/>
        <w:sz w:val="18"/>
      </w:rPr>
    </w:pPr>
    <w:r w:rsidRPr="00886016">
      <w:rPr>
        <w:i/>
        <w:sz w:val="18"/>
      </w:rPr>
      <w:fldChar w:fldCharType="begin"/>
    </w:r>
    <w:r w:rsidRPr="00886016">
      <w:rPr>
        <w:i/>
        <w:sz w:val="18"/>
      </w:rPr>
      <w:instrText xml:space="preserve"> FILENAME  \* Lower \p  \* MERGEFORMAT </w:instrText>
    </w:r>
    <w:r w:rsidRPr="00886016">
      <w:rPr>
        <w:i/>
        <w:sz w:val="18"/>
      </w:rPr>
      <w:fldChar w:fldCharType="separate"/>
    </w:r>
    <w:r w:rsidR="00824CBD">
      <w:rPr>
        <w:i/>
        <w:noProof/>
        <w:sz w:val="18"/>
      </w:rPr>
      <w:t>m:\governance\constitution, strategy and plans\rules for 2017 agm\</w:t>
    </w:r>
    <w:r w:rsidRPr="00886016">
      <w:rPr>
        <w:i/>
        <w:sz w:val="18"/>
      </w:rPr>
      <w:fldChar w:fldCharType="end"/>
    </w:r>
    <w:r w:rsidR="004B27C2">
      <w:rPr>
        <w:i/>
        <w:sz w:val="18"/>
      </w:rPr>
      <w:t>RULES for website DRAFT</w:t>
    </w:r>
  </w:p>
  <w:p w14:paraId="14EA71BE" w14:textId="5B7C700B" w:rsidR="00F8315D" w:rsidRDefault="00F831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1C278" w14:textId="77777777" w:rsidR="00452C6A" w:rsidRDefault="00452C6A" w:rsidP="002015F1">
      <w:pPr>
        <w:spacing w:after="0" w:line="240" w:lineRule="auto"/>
      </w:pPr>
      <w:r>
        <w:separator/>
      </w:r>
    </w:p>
  </w:footnote>
  <w:footnote w:type="continuationSeparator" w:id="0">
    <w:p w14:paraId="6101DE67" w14:textId="77777777" w:rsidR="00452C6A" w:rsidRDefault="00452C6A" w:rsidP="002015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055B"/>
    <w:multiLevelType w:val="hybridMultilevel"/>
    <w:tmpl w:val="4C1AD7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7C6575"/>
    <w:multiLevelType w:val="multilevel"/>
    <w:tmpl w:val="F12815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9B401D0"/>
    <w:multiLevelType w:val="multilevel"/>
    <w:tmpl w:val="772660A4"/>
    <w:lvl w:ilvl="0">
      <w:start w:val="1"/>
      <w:numFmt w:val="decimal"/>
      <w:lvlText w:val="2.%1"/>
      <w:lvlJc w:val="left"/>
      <w:pPr>
        <w:ind w:left="720" w:hanging="360"/>
      </w:pPr>
      <w:rPr>
        <w:rFonts w:hint="default"/>
        <w:spacing w:val="0"/>
        <w:w w:val="100"/>
        <w:kern w:val="0"/>
        <w14:cntxtAlts w14:val="0"/>
      </w:rPr>
    </w:lvl>
    <w:lvl w:ilvl="1">
      <w:start w:val="1"/>
      <w:numFmt w:val="decimal"/>
      <w:lvlText w:val="3.%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 w15:restartNumberingAfterBreak="0">
    <w:nsid w:val="0E370285"/>
    <w:multiLevelType w:val="hybridMultilevel"/>
    <w:tmpl w:val="611E2DFC"/>
    <w:lvl w:ilvl="0" w:tplc="9A8C7776">
      <w:start w:val="1"/>
      <w:numFmt w:val="decimal"/>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0C5FC1"/>
    <w:multiLevelType w:val="multilevel"/>
    <w:tmpl w:val="093CB1D6"/>
    <w:lvl w:ilvl="0">
      <w:start w:val="1"/>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5" w15:restartNumberingAfterBreak="0">
    <w:nsid w:val="249B1336"/>
    <w:multiLevelType w:val="multilevel"/>
    <w:tmpl w:val="02AE2244"/>
    <w:lvl w:ilvl="0">
      <w:start w:val="1"/>
      <w:numFmt w:val="decimal"/>
      <w:lvlText w:val="4.%1"/>
      <w:lvlJc w:val="left"/>
      <w:pPr>
        <w:ind w:left="360" w:hanging="360"/>
      </w:pPr>
      <w:rPr>
        <w:rFonts w:hint="default"/>
        <w:spacing w:val="0"/>
        <w:w w:val="100"/>
        <w:kern w:val="0"/>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right"/>
      <w:pPr>
        <w:ind w:left="1440" w:hanging="360"/>
      </w:pPr>
      <w:rPr>
        <w:rFonts w:hint="default"/>
      </w:rPr>
    </w:lvl>
    <w:lvl w:ilvl="4">
      <w:start w:val="1"/>
      <w:numFmt w:val="lowerRoman"/>
      <w:lvlText w:val="%5."/>
      <w:lvlJc w:val="righ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7424B3C"/>
    <w:multiLevelType w:val="hybridMultilevel"/>
    <w:tmpl w:val="E048E354"/>
    <w:lvl w:ilvl="0" w:tplc="F61C2660">
      <w:start w:val="1"/>
      <w:numFmt w:val="decimal"/>
      <w:lvlText w:val="4.%1"/>
      <w:lvlJc w:val="left"/>
      <w:pPr>
        <w:ind w:left="927" w:hanging="360"/>
      </w:pPr>
      <w:rPr>
        <w:rFonts w:hint="default"/>
        <w:spacing w:val="0"/>
        <w:w w:val="100"/>
        <w:kern w:val="0"/>
        <w14:cntxtAlts w14:val="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 w15:restartNumberingAfterBreak="0">
    <w:nsid w:val="30363ED5"/>
    <w:multiLevelType w:val="multilevel"/>
    <w:tmpl w:val="02AE2244"/>
    <w:lvl w:ilvl="0">
      <w:start w:val="1"/>
      <w:numFmt w:val="decimal"/>
      <w:lvlText w:val="4.%1"/>
      <w:lvlJc w:val="left"/>
      <w:pPr>
        <w:ind w:left="360" w:hanging="360"/>
      </w:pPr>
      <w:rPr>
        <w:rFonts w:hint="default"/>
        <w:spacing w:val="0"/>
        <w:w w:val="100"/>
        <w:kern w:val="0"/>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right"/>
      <w:pPr>
        <w:ind w:left="1440" w:hanging="360"/>
      </w:pPr>
      <w:rPr>
        <w:rFonts w:hint="default"/>
      </w:rPr>
    </w:lvl>
    <w:lvl w:ilvl="4">
      <w:start w:val="1"/>
      <w:numFmt w:val="lowerRoman"/>
      <w:lvlText w:val="%5."/>
      <w:lvlJc w:val="righ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08B7E6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9B35883"/>
    <w:multiLevelType w:val="multilevel"/>
    <w:tmpl w:val="10E6C62E"/>
    <w:lvl w:ilvl="0">
      <w:start w:val="1"/>
      <w:numFmt w:val="decimal"/>
      <w:lvlText w:val="4.%1"/>
      <w:lvlJc w:val="left"/>
      <w:pPr>
        <w:ind w:left="360" w:hanging="360"/>
      </w:pPr>
      <w:rPr>
        <w:rFonts w:hint="default"/>
        <w:spacing w:val="0"/>
        <w:w w:val="100"/>
        <w:kern w:val="0"/>
        <w14:cntxtAlts w14: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BB125D7"/>
    <w:multiLevelType w:val="multilevel"/>
    <w:tmpl w:val="42A29BEA"/>
    <w:lvl w:ilvl="0">
      <w:start w:val="1"/>
      <w:numFmt w:val="decimal"/>
      <w:lvlText w:val="%1."/>
      <w:lvlJc w:val="left"/>
      <w:pPr>
        <w:ind w:left="363" w:hanging="360"/>
      </w:pPr>
    </w:lvl>
    <w:lvl w:ilvl="1">
      <w:start w:val="1"/>
      <w:numFmt w:val="decimal"/>
      <w:isLgl/>
      <w:lvlText w:val="%1.%2"/>
      <w:lvlJc w:val="left"/>
      <w:pPr>
        <w:ind w:left="363" w:hanging="360"/>
      </w:pPr>
      <w:rPr>
        <w:rFonts w:hint="default"/>
      </w:rPr>
    </w:lvl>
    <w:lvl w:ilvl="2">
      <w:start w:val="1"/>
      <w:numFmt w:val="decimal"/>
      <w:isLgl/>
      <w:lvlText w:val="%1.%2.%3"/>
      <w:lvlJc w:val="left"/>
      <w:pPr>
        <w:ind w:left="723" w:hanging="720"/>
      </w:pPr>
      <w:rPr>
        <w:rFonts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11" w15:restartNumberingAfterBreak="0">
    <w:nsid w:val="3F6668DF"/>
    <w:multiLevelType w:val="multilevel"/>
    <w:tmpl w:val="02AE2244"/>
    <w:lvl w:ilvl="0">
      <w:start w:val="1"/>
      <w:numFmt w:val="decimal"/>
      <w:lvlText w:val="4.%1"/>
      <w:lvlJc w:val="left"/>
      <w:pPr>
        <w:ind w:left="360" w:hanging="360"/>
      </w:pPr>
      <w:rPr>
        <w:rFonts w:hint="default"/>
        <w:spacing w:val="0"/>
        <w:w w:val="100"/>
        <w:kern w:val="0"/>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right"/>
      <w:pPr>
        <w:ind w:left="1440" w:hanging="360"/>
      </w:pPr>
      <w:rPr>
        <w:rFonts w:hint="default"/>
      </w:rPr>
    </w:lvl>
    <w:lvl w:ilvl="4">
      <w:start w:val="1"/>
      <w:numFmt w:val="lowerRoman"/>
      <w:lvlText w:val="%5."/>
      <w:lvlJc w:val="righ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0A419A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449583A"/>
    <w:multiLevelType w:val="multilevel"/>
    <w:tmpl w:val="7032BBAA"/>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AEF7299"/>
    <w:multiLevelType w:val="multilevel"/>
    <w:tmpl w:val="02AE2244"/>
    <w:lvl w:ilvl="0">
      <w:start w:val="1"/>
      <w:numFmt w:val="decimal"/>
      <w:lvlText w:val="4.%1"/>
      <w:lvlJc w:val="left"/>
      <w:pPr>
        <w:ind w:left="360" w:hanging="360"/>
      </w:pPr>
      <w:rPr>
        <w:rFonts w:hint="default"/>
        <w:spacing w:val="0"/>
        <w:w w:val="100"/>
        <w:kern w:val="0"/>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right"/>
      <w:pPr>
        <w:ind w:left="1440" w:hanging="360"/>
      </w:pPr>
      <w:rPr>
        <w:rFonts w:hint="default"/>
      </w:rPr>
    </w:lvl>
    <w:lvl w:ilvl="4">
      <w:start w:val="1"/>
      <w:numFmt w:val="lowerRoman"/>
      <w:lvlText w:val="%5."/>
      <w:lvlJc w:val="righ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D992A56"/>
    <w:multiLevelType w:val="hybridMultilevel"/>
    <w:tmpl w:val="E53A9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560D72"/>
    <w:multiLevelType w:val="multilevel"/>
    <w:tmpl w:val="DE16A246"/>
    <w:lvl w:ilvl="0">
      <w:start w:val="3"/>
      <w:numFmt w:val="decimal"/>
      <w:lvlText w:val="4.%1"/>
      <w:lvlJc w:val="left"/>
      <w:pPr>
        <w:ind w:left="360" w:hanging="360"/>
      </w:pPr>
      <w:rPr>
        <w:rFonts w:hint="default"/>
        <w:spacing w:val="0"/>
        <w:w w:val="100"/>
        <w:kern w:val="0"/>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B2572B9"/>
    <w:multiLevelType w:val="multilevel"/>
    <w:tmpl w:val="246A60E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3"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0805E22"/>
    <w:multiLevelType w:val="multilevel"/>
    <w:tmpl w:val="0809001D"/>
    <w:lvl w:ilvl="0">
      <w:start w:val="1"/>
      <w:numFmt w:val="decimal"/>
      <w:lvlText w:val="%1)"/>
      <w:lvlJc w:val="left"/>
      <w:pPr>
        <w:ind w:left="723" w:hanging="360"/>
      </w:pPr>
    </w:lvl>
    <w:lvl w:ilvl="1">
      <w:start w:val="1"/>
      <w:numFmt w:val="lowerLetter"/>
      <w:lvlText w:val="%2)"/>
      <w:lvlJc w:val="left"/>
      <w:pPr>
        <w:ind w:left="1083" w:hanging="360"/>
      </w:pPr>
    </w:lvl>
    <w:lvl w:ilvl="2">
      <w:start w:val="1"/>
      <w:numFmt w:val="lowerRoman"/>
      <w:lvlText w:val="%3)"/>
      <w:lvlJc w:val="left"/>
      <w:pPr>
        <w:ind w:left="1443" w:hanging="360"/>
      </w:pPr>
    </w:lvl>
    <w:lvl w:ilvl="3">
      <w:start w:val="1"/>
      <w:numFmt w:val="decimal"/>
      <w:lvlText w:val="(%4)"/>
      <w:lvlJc w:val="left"/>
      <w:pPr>
        <w:ind w:left="1803" w:hanging="360"/>
      </w:pPr>
    </w:lvl>
    <w:lvl w:ilvl="4">
      <w:start w:val="1"/>
      <w:numFmt w:val="lowerLetter"/>
      <w:lvlText w:val="(%5)"/>
      <w:lvlJc w:val="left"/>
      <w:pPr>
        <w:ind w:left="2163" w:hanging="360"/>
      </w:pPr>
    </w:lvl>
    <w:lvl w:ilvl="5">
      <w:start w:val="1"/>
      <w:numFmt w:val="lowerRoman"/>
      <w:lvlText w:val="(%6)"/>
      <w:lvlJc w:val="left"/>
      <w:pPr>
        <w:ind w:left="2523" w:hanging="360"/>
      </w:pPr>
    </w:lvl>
    <w:lvl w:ilvl="6">
      <w:start w:val="1"/>
      <w:numFmt w:val="decimal"/>
      <w:lvlText w:val="%7."/>
      <w:lvlJc w:val="left"/>
      <w:pPr>
        <w:ind w:left="2883" w:hanging="360"/>
      </w:pPr>
    </w:lvl>
    <w:lvl w:ilvl="7">
      <w:start w:val="1"/>
      <w:numFmt w:val="lowerLetter"/>
      <w:lvlText w:val="%8."/>
      <w:lvlJc w:val="left"/>
      <w:pPr>
        <w:ind w:left="3243" w:hanging="360"/>
      </w:pPr>
    </w:lvl>
    <w:lvl w:ilvl="8">
      <w:start w:val="1"/>
      <w:numFmt w:val="lowerRoman"/>
      <w:lvlText w:val="%9."/>
      <w:lvlJc w:val="left"/>
      <w:pPr>
        <w:ind w:left="3603" w:hanging="360"/>
      </w:pPr>
    </w:lvl>
  </w:abstractNum>
  <w:abstractNum w:abstractNumId="19" w15:restartNumberingAfterBreak="0">
    <w:nsid w:val="63947C26"/>
    <w:multiLevelType w:val="hybridMultilevel"/>
    <w:tmpl w:val="0F267A44"/>
    <w:lvl w:ilvl="0" w:tplc="71BCBDEC">
      <w:start w:val="1"/>
      <w:numFmt w:val="decimal"/>
      <w:lvlText w:val="3.%1"/>
      <w:lvlJc w:val="left"/>
      <w:pPr>
        <w:ind w:left="360" w:hanging="360"/>
      </w:pPr>
      <w:rPr>
        <w:rFonts w:hint="default"/>
        <w:spacing w:val="0"/>
        <w:w w:val="100"/>
        <w:kern w:val="0"/>
        <w14:cntxtAlts w14: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59A7EA5"/>
    <w:multiLevelType w:val="hybridMultilevel"/>
    <w:tmpl w:val="17EC2FDC"/>
    <w:lvl w:ilvl="0" w:tplc="B16AC018">
      <w:start w:val="1"/>
      <w:numFmt w:val="decimal"/>
      <w:lvlText w:val="2.%1"/>
      <w:lvlJc w:val="left"/>
      <w:pPr>
        <w:ind w:left="360" w:hanging="360"/>
      </w:pPr>
      <w:rPr>
        <w:rFonts w:hint="default"/>
        <w:spacing w:val="0"/>
        <w:w w:val="100"/>
        <w:kern w:val="0"/>
        <w14:cntxtAlts w14: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A761033"/>
    <w:multiLevelType w:val="multilevel"/>
    <w:tmpl w:val="64B877A0"/>
    <w:lvl w:ilvl="0">
      <w:start w:val="1"/>
      <w:numFmt w:val="decimal"/>
      <w:lvlText w:val="5.%1"/>
      <w:lvlJc w:val="left"/>
      <w:pPr>
        <w:ind w:left="363" w:hanging="360"/>
      </w:pPr>
      <w:rPr>
        <w:rFonts w:hint="default"/>
        <w:spacing w:val="0"/>
        <w:w w:val="100"/>
        <w:kern w:val="0"/>
        <w14:cntxtAlts w14:val="0"/>
      </w:rPr>
    </w:lvl>
    <w:lvl w:ilvl="1">
      <w:start w:val="1"/>
      <w:numFmt w:val="decimal"/>
      <w:isLgl/>
      <w:lvlText w:val="%1.%2"/>
      <w:lvlJc w:val="left"/>
      <w:pPr>
        <w:ind w:left="363" w:hanging="360"/>
      </w:pPr>
      <w:rPr>
        <w:rFonts w:hint="default"/>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22" w15:restartNumberingAfterBreak="0">
    <w:nsid w:val="76DB06A3"/>
    <w:multiLevelType w:val="multilevel"/>
    <w:tmpl w:val="9DC64220"/>
    <w:lvl w:ilvl="0">
      <w:start w:val="5"/>
      <w:numFmt w:val="decimal"/>
      <w:lvlText w:val="%1"/>
      <w:lvlJc w:val="left"/>
      <w:pPr>
        <w:ind w:left="720" w:hanging="360"/>
      </w:pPr>
      <w:rPr>
        <w:rFonts w:hint="default"/>
      </w:rPr>
    </w:lvl>
    <w:lvl w:ilvl="1">
      <w:start w:val="1"/>
      <w:numFmt w:val="decimal"/>
      <w:lvlText w:val="%1.%2"/>
      <w:lvlJc w:val="left"/>
      <w:pPr>
        <w:ind w:left="2138" w:hanging="360"/>
      </w:pPr>
      <w:rPr>
        <w:rFonts w:hint="default"/>
      </w:rPr>
    </w:lvl>
    <w:lvl w:ilvl="2">
      <w:start w:val="1"/>
      <w:numFmt w:val="decimal"/>
      <w:lvlText w:val="%1.%2.%3"/>
      <w:lvlJc w:val="left"/>
      <w:pPr>
        <w:ind w:left="3916" w:hanging="720"/>
      </w:pPr>
      <w:rPr>
        <w:rFonts w:hint="default"/>
      </w:rPr>
    </w:lvl>
    <w:lvl w:ilvl="3">
      <w:start w:val="1"/>
      <w:numFmt w:val="decimal"/>
      <w:lvlText w:val="%1.%2.%3.%4"/>
      <w:lvlJc w:val="left"/>
      <w:pPr>
        <w:ind w:left="5334" w:hanging="720"/>
      </w:pPr>
      <w:rPr>
        <w:rFonts w:hint="default"/>
      </w:rPr>
    </w:lvl>
    <w:lvl w:ilvl="4">
      <w:start w:val="1"/>
      <w:numFmt w:val="decimal"/>
      <w:lvlText w:val="%1.%2.%3.%4.%5"/>
      <w:lvlJc w:val="left"/>
      <w:pPr>
        <w:ind w:left="7112" w:hanging="1080"/>
      </w:pPr>
      <w:rPr>
        <w:rFonts w:hint="default"/>
      </w:rPr>
    </w:lvl>
    <w:lvl w:ilvl="5">
      <w:start w:val="1"/>
      <w:numFmt w:val="decimal"/>
      <w:lvlText w:val="%1.%2.%3.%4.%5.%6"/>
      <w:lvlJc w:val="left"/>
      <w:pPr>
        <w:ind w:left="8530" w:hanging="1080"/>
      </w:pPr>
      <w:rPr>
        <w:rFonts w:hint="default"/>
      </w:rPr>
    </w:lvl>
    <w:lvl w:ilvl="6">
      <w:start w:val="1"/>
      <w:numFmt w:val="decimal"/>
      <w:lvlText w:val="%1.%2.%3.%4.%5.%6.%7"/>
      <w:lvlJc w:val="left"/>
      <w:pPr>
        <w:ind w:left="10308" w:hanging="1440"/>
      </w:pPr>
      <w:rPr>
        <w:rFonts w:hint="default"/>
      </w:rPr>
    </w:lvl>
    <w:lvl w:ilvl="7">
      <w:start w:val="1"/>
      <w:numFmt w:val="decimal"/>
      <w:lvlText w:val="%1.%2.%3.%4.%5.%6.%7.%8"/>
      <w:lvlJc w:val="left"/>
      <w:pPr>
        <w:ind w:left="11726" w:hanging="1440"/>
      </w:pPr>
      <w:rPr>
        <w:rFonts w:hint="default"/>
      </w:rPr>
    </w:lvl>
    <w:lvl w:ilvl="8">
      <w:start w:val="1"/>
      <w:numFmt w:val="decimal"/>
      <w:lvlText w:val="%1.%2.%3.%4.%5.%6.%7.%8.%9"/>
      <w:lvlJc w:val="left"/>
      <w:pPr>
        <w:ind w:left="13144" w:hanging="1440"/>
      </w:pPr>
      <w:rPr>
        <w:rFonts w:hint="default"/>
      </w:rPr>
    </w:lvl>
  </w:abstractNum>
  <w:abstractNum w:abstractNumId="23" w15:restartNumberingAfterBreak="0">
    <w:nsid w:val="7AE459EE"/>
    <w:multiLevelType w:val="hybridMultilevel"/>
    <w:tmpl w:val="C6403F24"/>
    <w:lvl w:ilvl="0" w:tplc="F61C2660">
      <w:start w:val="1"/>
      <w:numFmt w:val="decimal"/>
      <w:lvlText w:val="4.%1"/>
      <w:lvlJc w:val="left"/>
      <w:pPr>
        <w:ind w:left="360" w:hanging="360"/>
      </w:pPr>
      <w:rPr>
        <w:rFonts w:hint="default"/>
        <w:spacing w:val="0"/>
        <w:w w:val="100"/>
        <w:kern w:val="0"/>
        <w14:cntxtAlts w14: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DA20171"/>
    <w:multiLevelType w:val="multilevel"/>
    <w:tmpl w:val="42A29BEA"/>
    <w:lvl w:ilvl="0">
      <w:start w:val="1"/>
      <w:numFmt w:val="decimal"/>
      <w:lvlText w:val="%1."/>
      <w:lvlJc w:val="left"/>
      <w:pPr>
        <w:ind w:left="363" w:hanging="360"/>
      </w:pPr>
    </w:lvl>
    <w:lvl w:ilvl="1">
      <w:start w:val="1"/>
      <w:numFmt w:val="decimal"/>
      <w:isLgl/>
      <w:lvlText w:val="%1.%2"/>
      <w:lvlJc w:val="left"/>
      <w:pPr>
        <w:ind w:left="363" w:hanging="360"/>
      </w:pPr>
      <w:rPr>
        <w:rFonts w:hint="default"/>
      </w:rPr>
    </w:lvl>
    <w:lvl w:ilvl="2">
      <w:start w:val="1"/>
      <w:numFmt w:val="decimal"/>
      <w:isLgl/>
      <w:lvlText w:val="%1.%2.%3"/>
      <w:lvlJc w:val="left"/>
      <w:pPr>
        <w:ind w:left="723" w:hanging="720"/>
      </w:pPr>
      <w:rPr>
        <w:rFonts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num w:numId="1" w16cid:durableId="1471364006">
    <w:abstractNumId w:val="13"/>
  </w:num>
  <w:num w:numId="2" w16cid:durableId="2087915238">
    <w:abstractNumId w:val="2"/>
  </w:num>
  <w:num w:numId="3" w16cid:durableId="189882248">
    <w:abstractNumId w:val="19"/>
  </w:num>
  <w:num w:numId="4" w16cid:durableId="909005178">
    <w:abstractNumId w:val="12"/>
  </w:num>
  <w:num w:numId="5" w16cid:durableId="1942103767">
    <w:abstractNumId w:val="20"/>
  </w:num>
  <w:num w:numId="6" w16cid:durableId="7215485">
    <w:abstractNumId w:val="23"/>
  </w:num>
  <w:num w:numId="7" w16cid:durableId="336425503">
    <w:abstractNumId w:val="6"/>
  </w:num>
  <w:num w:numId="8" w16cid:durableId="1544512254">
    <w:abstractNumId w:val="9"/>
  </w:num>
  <w:num w:numId="9" w16cid:durableId="1355110617">
    <w:abstractNumId w:val="16"/>
  </w:num>
  <w:num w:numId="10" w16cid:durableId="181821901">
    <w:abstractNumId w:val="3"/>
  </w:num>
  <w:num w:numId="11" w16cid:durableId="1557820023">
    <w:abstractNumId w:val="11"/>
  </w:num>
  <w:num w:numId="12" w16cid:durableId="839928564">
    <w:abstractNumId w:val="24"/>
  </w:num>
  <w:num w:numId="13" w16cid:durableId="1293947739">
    <w:abstractNumId w:val="7"/>
  </w:num>
  <w:num w:numId="14" w16cid:durableId="1497183677">
    <w:abstractNumId w:val="14"/>
  </w:num>
  <w:num w:numId="15" w16cid:durableId="400238">
    <w:abstractNumId w:val="5"/>
  </w:num>
  <w:num w:numId="16" w16cid:durableId="1204907113">
    <w:abstractNumId w:val="10"/>
  </w:num>
  <w:num w:numId="17" w16cid:durableId="1215315043">
    <w:abstractNumId w:val="21"/>
  </w:num>
  <w:num w:numId="18" w16cid:durableId="706637364">
    <w:abstractNumId w:val="18"/>
  </w:num>
  <w:num w:numId="19" w16cid:durableId="1116676331">
    <w:abstractNumId w:val="8"/>
  </w:num>
  <w:num w:numId="20" w16cid:durableId="20533860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52464014">
    <w:abstractNumId w:val="17"/>
  </w:num>
  <w:num w:numId="22" w16cid:durableId="1289966695">
    <w:abstractNumId w:val="15"/>
  </w:num>
  <w:num w:numId="23" w16cid:durableId="1618025243">
    <w:abstractNumId w:val="0"/>
  </w:num>
  <w:num w:numId="24" w16cid:durableId="112284721">
    <w:abstractNumId w:val="1"/>
  </w:num>
  <w:num w:numId="25" w16cid:durableId="1151486009">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F11"/>
    <w:rsid w:val="00003FE6"/>
    <w:rsid w:val="00015F00"/>
    <w:rsid w:val="0002432F"/>
    <w:rsid w:val="000440E5"/>
    <w:rsid w:val="00054D89"/>
    <w:rsid w:val="00072CC4"/>
    <w:rsid w:val="00097377"/>
    <w:rsid w:val="000A7E58"/>
    <w:rsid w:val="000E1330"/>
    <w:rsid w:val="000F41C4"/>
    <w:rsid w:val="000F5562"/>
    <w:rsid w:val="0010098A"/>
    <w:rsid w:val="00112438"/>
    <w:rsid w:val="00130801"/>
    <w:rsid w:val="0014296B"/>
    <w:rsid w:val="00150100"/>
    <w:rsid w:val="00154B62"/>
    <w:rsid w:val="00161520"/>
    <w:rsid w:val="001618D2"/>
    <w:rsid w:val="00161E9A"/>
    <w:rsid w:val="001A5C4E"/>
    <w:rsid w:val="001B6140"/>
    <w:rsid w:val="001C0F21"/>
    <w:rsid w:val="001F2CED"/>
    <w:rsid w:val="001F41F6"/>
    <w:rsid w:val="001F4A9E"/>
    <w:rsid w:val="002015F1"/>
    <w:rsid w:val="00201931"/>
    <w:rsid w:val="002231BE"/>
    <w:rsid w:val="00227E57"/>
    <w:rsid w:val="0023474B"/>
    <w:rsid w:val="00250D04"/>
    <w:rsid w:val="00253A4A"/>
    <w:rsid w:val="00257C7A"/>
    <w:rsid w:val="002613B2"/>
    <w:rsid w:val="002627EE"/>
    <w:rsid w:val="00286BAE"/>
    <w:rsid w:val="002941BB"/>
    <w:rsid w:val="002A10AE"/>
    <w:rsid w:val="002D6394"/>
    <w:rsid w:val="002E38D9"/>
    <w:rsid w:val="002E3FC0"/>
    <w:rsid w:val="002F1BAA"/>
    <w:rsid w:val="002F6DEE"/>
    <w:rsid w:val="00324A30"/>
    <w:rsid w:val="0039572F"/>
    <w:rsid w:val="00396681"/>
    <w:rsid w:val="00396F26"/>
    <w:rsid w:val="003B481C"/>
    <w:rsid w:val="003B5F2E"/>
    <w:rsid w:val="003E0FA8"/>
    <w:rsid w:val="00452C6A"/>
    <w:rsid w:val="00454F11"/>
    <w:rsid w:val="00456622"/>
    <w:rsid w:val="00465041"/>
    <w:rsid w:val="00476510"/>
    <w:rsid w:val="0048503F"/>
    <w:rsid w:val="0048556D"/>
    <w:rsid w:val="004972D2"/>
    <w:rsid w:val="004973D4"/>
    <w:rsid w:val="004A1B61"/>
    <w:rsid w:val="004B27C2"/>
    <w:rsid w:val="004F36B5"/>
    <w:rsid w:val="00525465"/>
    <w:rsid w:val="00566615"/>
    <w:rsid w:val="005743B5"/>
    <w:rsid w:val="0058623B"/>
    <w:rsid w:val="0058696A"/>
    <w:rsid w:val="005A210B"/>
    <w:rsid w:val="005B4D2C"/>
    <w:rsid w:val="005B4E0F"/>
    <w:rsid w:val="005C20E8"/>
    <w:rsid w:val="00605BF6"/>
    <w:rsid w:val="006113CA"/>
    <w:rsid w:val="006477B9"/>
    <w:rsid w:val="00675133"/>
    <w:rsid w:val="006933F0"/>
    <w:rsid w:val="00696FE3"/>
    <w:rsid w:val="006B0B7F"/>
    <w:rsid w:val="006B3283"/>
    <w:rsid w:val="006C0AA8"/>
    <w:rsid w:val="006C6192"/>
    <w:rsid w:val="006D6385"/>
    <w:rsid w:val="006E5E15"/>
    <w:rsid w:val="006F3DCF"/>
    <w:rsid w:val="006F7C52"/>
    <w:rsid w:val="00704743"/>
    <w:rsid w:val="00716B50"/>
    <w:rsid w:val="0072004B"/>
    <w:rsid w:val="00743AE4"/>
    <w:rsid w:val="007675E3"/>
    <w:rsid w:val="00775256"/>
    <w:rsid w:val="0078340C"/>
    <w:rsid w:val="007A2D8F"/>
    <w:rsid w:val="007A5AE0"/>
    <w:rsid w:val="007C2646"/>
    <w:rsid w:val="007C49EA"/>
    <w:rsid w:val="007C740C"/>
    <w:rsid w:val="007F0938"/>
    <w:rsid w:val="00803FE5"/>
    <w:rsid w:val="00824CBD"/>
    <w:rsid w:val="00826380"/>
    <w:rsid w:val="00830F1F"/>
    <w:rsid w:val="00862D09"/>
    <w:rsid w:val="008675F7"/>
    <w:rsid w:val="00867B0E"/>
    <w:rsid w:val="008813D4"/>
    <w:rsid w:val="00886016"/>
    <w:rsid w:val="008B5869"/>
    <w:rsid w:val="00921B47"/>
    <w:rsid w:val="00935694"/>
    <w:rsid w:val="00941A66"/>
    <w:rsid w:val="00954828"/>
    <w:rsid w:val="009A4759"/>
    <w:rsid w:val="009A6ED8"/>
    <w:rsid w:val="009C258B"/>
    <w:rsid w:val="009E329E"/>
    <w:rsid w:val="00A02521"/>
    <w:rsid w:val="00A14CF7"/>
    <w:rsid w:val="00A213DA"/>
    <w:rsid w:val="00A306E1"/>
    <w:rsid w:val="00A41C53"/>
    <w:rsid w:val="00A6169C"/>
    <w:rsid w:val="00A62DBD"/>
    <w:rsid w:val="00A96F6F"/>
    <w:rsid w:val="00AA0249"/>
    <w:rsid w:val="00AD5D49"/>
    <w:rsid w:val="00AF5BB6"/>
    <w:rsid w:val="00B00C59"/>
    <w:rsid w:val="00B23EEE"/>
    <w:rsid w:val="00B24F4A"/>
    <w:rsid w:val="00B31C86"/>
    <w:rsid w:val="00B343E4"/>
    <w:rsid w:val="00B75B01"/>
    <w:rsid w:val="00BA2B47"/>
    <w:rsid w:val="00BA3BC6"/>
    <w:rsid w:val="00C02089"/>
    <w:rsid w:val="00C45E2B"/>
    <w:rsid w:val="00C61C34"/>
    <w:rsid w:val="00CA1F3F"/>
    <w:rsid w:val="00CA6BA5"/>
    <w:rsid w:val="00CB11F7"/>
    <w:rsid w:val="00CD2139"/>
    <w:rsid w:val="00D21647"/>
    <w:rsid w:val="00D80767"/>
    <w:rsid w:val="00DB2756"/>
    <w:rsid w:val="00DB2797"/>
    <w:rsid w:val="00DB3838"/>
    <w:rsid w:val="00E30643"/>
    <w:rsid w:val="00E5788E"/>
    <w:rsid w:val="00E8747A"/>
    <w:rsid w:val="00E91882"/>
    <w:rsid w:val="00ED30FE"/>
    <w:rsid w:val="00F046AC"/>
    <w:rsid w:val="00F21458"/>
    <w:rsid w:val="00F23B8D"/>
    <w:rsid w:val="00F61D9C"/>
    <w:rsid w:val="00F669B0"/>
    <w:rsid w:val="00F8315D"/>
    <w:rsid w:val="00F94835"/>
    <w:rsid w:val="00FC195F"/>
    <w:rsid w:val="00FE62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C2B52"/>
  <w15:docId w15:val="{FC871F57-901C-4C20-A721-7D177B947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869"/>
  </w:style>
  <w:style w:type="paragraph" w:styleId="Heading1">
    <w:name w:val="heading 1"/>
    <w:basedOn w:val="Normal"/>
    <w:link w:val="Heading1Char"/>
    <w:uiPriority w:val="1"/>
    <w:qFormat/>
    <w:rsid w:val="00B75B01"/>
    <w:pPr>
      <w:widowControl w:val="0"/>
      <w:spacing w:after="0" w:line="240" w:lineRule="auto"/>
      <w:outlineLvl w:val="0"/>
    </w:pPr>
    <w:rPr>
      <w:rFonts w:ascii="Arial" w:eastAsia="Arial" w:hAnsi="Arial"/>
      <w:b/>
      <w:bCs/>
      <w:sz w:val="17"/>
      <w:szCs w:val="17"/>
      <w:lang w:val="en-US"/>
    </w:rPr>
  </w:style>
  <w:style w:type="paragraph" w:styleId="Heading2">
    <w:name w:val="heading 2"/>
    <w:basedOn w:val="Normal"/>
    <w:next w:val="Normal"/>
    <w:link w:val="Heading2Char"/>
    <w:uiPriority w:val="9"/>
    <w:semiHidden/>
    <w:unhideWhenUsed/>
    <w:qFormat/>
    <w:rsid w:val="001F4A9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5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5F1"/>
  </w:style>
  <w:style w:type="paragraph" w:styleId="Footer">
    <w:name w:val="footer"/>
    <w:basedOn w:val="Normal"/>
    <w:link w:val="FooterChar"/>
    <w:uiPriority w:val="99"/>
    <w:unhideWhenUsed/>
    <w:rsid w:val="002015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15F1"/>
  </w:style>
  <w:style w:type="paragraph" w:styleId="BalloonText">
    <w:name w:val="Balloon Text"/>
    <w:basedOn w:val="Normal"/>
    <w:link w:val="BalloonTextChar"/>
    <w:uiPriority w:val="99"/>
    <w:semiHidden/>
    <w:unhideWhenUsed/>
    <w:rsid w:val="002015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5F1"/>
    <w:rPr>
      <w:rFonts w:ascii="Tahoma" w:hAnsi="Tahoma" w:cs="Tahoma"/>
      <w:sz w:val="16"/>
      <w:szCs w:val="16"/>
    </w:rPr>
  </w:style>
  <w:style w:type="paragraph" w:styleId="ListParagraph">
    <w:name w:val="List Paragraph"/>
    <w:basedOn w:val="Normal"/>
    <w:uiPriority w:val="34"/>
    <w:qFormat/>
    <w:rsid w:val="000F5562"/>
    <w:pPr>
      <w:ind w:left="720"/>
      <w:contextualSpacing/>
    </w:pPr>
  </w:style>
  <w:style w:type="character" w:customStyle="1" w:styleId="Heading1Char">
    <w:name w:val="Heading 1 Char"/>
    <w:basedOn w:val="DefaultParagraphFont"/>
    <w:link w:val="Heading1"/>
    <w:uiPriority w:val="1"/>
    <w:rsid w:val="00B75B01"/>
    <w:rPr>
      <w:rFonts w:ascii="Arial" w:eastAsia="Arial" w:hAnsi="Arial"/>
      <w:b/>
      <w:bCs/>
      <w:sz w:val="17"/>
      <w:szCs w:val="17"/>
      <w:lang w:val="en-US"/>
    </w:rPr>
  </w:style>
  <w:style w:type="character" w:styleId="CommentReference">
    <w:name w:val="annotation reference"/>
    <w:basedOn w:val="DefaultParagraphFont"/>
    <w:uiPriority w:val="99"/>
    <w:semiHidden/>
    <w:unhideWhenUsed/>
    <w:rsid w:val="006C6192"/>
    <w:rPr>
      <w:sz w:val="16"/>
      <w:szCs w:val="16"/>
    </w:rPr>
  </w:style>
  <w:style w:type="paragraph" w:styleId="CommentText">
    <w:name w:val="annotation text"/>
    <w:basedOn w:val="Normal"/>
    <w:link w:val="CommentTextChar"/>
    <w:uiPriority w:val="99"/>
    <w:semiHidden/>
    <w:unhideWhenUsed/>
    <w:rsid w:val="006C6192"/>
    <w:pPr>
      <w:spacing w:line="240" w:lineRule="auto"/>
    </w:pPr>
    <w:rPr>
      <w:sz w:val="20"/>
      <w:szCs w:val="20"/>
    </w:rPr>
  </w:style>
  <w:style w:type="character" w:customStyle="1" w:styleId="CommentTextChar">
    <w:name w:val="Comment Text Char"/>
    <w:basedOn w:val="DefaultParagraphFont"/>
    <w:link w:val="CommentText"/>
    <w:uiPriority w:val="99"/>
    <w:semiHidden/>
    <w:rsid w:val="006C6192"/>
    <w:rPr>
      <w:sz w:val="20"/>
      <w:szCs w:val="20"/>
    </w:rPr>
  </w:style>
  <w:style w:type="paragraph" w:styleId="CommentSubject">
    <w:name w:val="annotation subject"/>
    <w:basedOn w:val="CommentText"/>
    <w:next w:val="CommentText"/>
    <w:link w:val="CommentSubjectChar"/>
    <w:uiPriority w:val="99"/>
    <w:semiHidden/>
    <w:unhideWhenUsed/>
    <w:rsid w:val="006C6192"/>
    <w:rPr>
      <w:b/>
      <w:bCs/>
    </w:rPr>
  </w:style>
  <w:style w:type="character" w:customStyle="1" w:styleId="CommentSubjectChar">
    <w:name w:val="Comment Subject Char"/>
    <w:basedOn w:val="CommentTextChar"/>
    <w:link w:val="CommentSubject"/>
    <w:uiPriority w:val="99"/>
    <w:semiHidden/>
    <w:rsid w:val="006C6192"/>
    <w:rPr>
      <w:b/>
      <w:bCs/>
      <w:sz w:val="20"/>
      <w:szCs w:val="20"/>
    </w:rPr>
  </w:style>
  <w:style w:type="table" w:styleId="TableGrid">
    <w:name w:val="Table Grid"/>
    <w:basedOn w:val="TableNormal"/>
    <w:uiPriority w:val="59"/>
    <w:rsid w:val="007F0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1F4A9E"/>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1"/>
    <w:qFormat/>
    <w:rsid w:val="001F4A9E"/>
    <w:pPr>
      <w:widowControl w:val="0"/>
      <w:spacing w:after="0" w:line="240" w:lineRule="auto"/>
    </w:pPr>
    <w:rPr>
      <w:rFonts w:ascii="Calibri" w:eastAsia="Calibri" w:hAnsi="Calibri" w:cs="Calibri"/>
      <w:lang w:val="en-US"/>
    </w:rPr>
  </w:style>
  <w:style w:type="character" w:customStyle="1" w:styleId="BodyTextChar">
    <w:name w:val="Body Text Char"/>
    <w:basedOn w:val="DefaultParagraphFont"/>
    <w:link w:val="BodyText"/>
    <w:uiPriority w:val="1"/>
    <w:rsid w:val="001F4A9E"/>
    <w:rPr>
      <w:rFonts w:ascii="Calibri" w:eastAsia="Calibri" w:hAnsi="Calibri" w:cs="Calibri"/>
      <w:lang w:val="en-US"/>
    </w:rPr>
  </w:style>
  <w:style w:type="character" w:styleId="Hyperlink">
    <w:name w:val="Hyperlink"/>
    <w:basedOn w:val="DefaultParagraphFont"/>
    <w:uiPriority w:val="99"/>
    <w:unhideWhenUsed/>
    <w:rsid w:val="001F4A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68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18FED-EA82-4B50-8125-60157A339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1352</Words>
  <Characters>7712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Chapman</dc:creator>
  <cp:keywords/>
  <dc:description/>
  <cp:lastModifiedBy>Tim Hancock</cp:lastModifiedBy>
  <cp:revision>2</cp:revision>
  <cp:lastPrinted>2016-06-03T14:56:00Z</cp:lastPrinted>
  <dcterms:created xsi:type="dcterms:W3CDTF">2024-07-17T15:02:00Z</dcterms:created>
  <dcterms:modified xsi:type="dcterms:W3CDTF">2024-07-17T15:02:00Z</dcterms:modified>
</cp:coreProperties>
</file>